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859" w:type="dxa"/>
        <w:tblBorders>
          <w:top w:val="outset" w:sz="6" w:space="0" w:color="auto"/>
          <w:left w:val="outset" w:sz="6" w:space="0" w:color="auto"/>
          <w:bottom w:val="outset" w:sz="6" w:space="0" w:color="auto"/>
          <w:right w:val="outset" w:sz="6" w:space="0" w:color="auto"/>
        </w:tblBorders>
        <w:shd w:val="clear" w:color="auto" w:fill="305CA3"/>
        <w:tblCellMar>
          <w:top w:w="75" w:type="dxa"/>
          <w:left w:w="75" w:type="dxa"/>
          <w:bottom w:w="75" w:type="dxa"/>
          <w:right w:w="75" w:type="dxa"/>
        </w:tblCellMar>
        <w:tblLook w:val="04A0" w:firstRow="1" w:lastRow="0" w:firstColumn="1" w:lastColumn="0" w:noHBand="0" w:noVBand="1"/>
      </w:tblPr>
      <w:tblGrid>
        <w:gridCol w:w="1843"/>
        <w:gridCol w:w="1875"/>
        <w:gridCol w:w="1466"/>
        <w:gridCol w:w="5448"/>
      </w:tblGrid>
      <w:tr w:rsidR="00B4242B" w:rsidRPr="00B4242B" w:rsidTr="00B4242B">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jc w:val="center"/>
              <w:rPr>
                <w:rFonts w:ascii="Verdana" w:eastAsia="Times New Roman" w:hAnsi="Verdana" w:cs="Times New Roman"/>
                <w:sz w:val="18"/>
                <w:szCs w:val="18"/>
                <w:lang w:eastAsia="tr-TR"/>
              </w:rPr>
            </w:pPr>
            <w:bookmarkStart w:id="0" w:name="_GoBack" w:colFirst="1" w:colLast="1"/>
            <w:r w:rsidRPr="00B4242B">
              <w:rPr>
                <w:rFonts w:ascii="Verdana" w:eastAsia="Times New Roman" w:hAnsi="Verdana" w:cs="Times New Roman"/>
                <w:b/>
                <w:bCs/>
                <w:sz w:val="18"/>
                <w:szCs w:val="18"/>
                <w:lang w:eastAsia="tr-TR"/>
              </w:rPr>
              <w:t>İNSAN HAKLARI AVRUPA MAHKEMESİ SONKARARI</w:t>
            </w:r>
          </w:p>
        </w:tc>
      </w:tr>
      <w:tr w:rsidR="00B4242B" w:rsidRPr="00B4242B" w:rsidTr="00B4242B">
        <w:trPr>
          <w:tblCellSpacing w:w="0" w:type="dxa"/>
        </w:trPr>
        <w:tc>
          <w:tcPr>
            <w:tcW w:w="867" w:type="pct"/>
            <w:tcBorders>
              <w:top w:val="outset" w:sz="6" w:space="0" w:color="auto"/>
              <w:left w:val="outset" w:sz="6" w:space="0" w:color="auto"/>
              <w:bottom w:val="outset" w:sz="6" w:space="0" w:color="auto"/>
              <w:right w:val="outset" w:sz="6" w:space="0" w:color="auto"/>
            </w:tcBorders>
            <w:shd w:val="clear" w:color="auto" w:fill="567DBE"/>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Eski Genel Kurul </w:t>
            </w:r>
          </w:p>
        </w:tc>
        <w:tc>
          <w:tcPr>
            <w:tcW w:w="4133" w:type="pct"/>
            <w:gridSpan w:val="3"/>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i/>
                <w:iCs/>
                <w:sz w:val="18"/>
                <w:szCs w:val="18"/>
                <w:lang w:eastAsia="tr-TR"/>
              </w:rPr>
              <w:t>Yargıçlar</w:t>
            </w:r>
            <w:r w:rsidRPr="00B4242B">
              <w:rPr>
                <w:rFonts w:ascii="Verdana" w:eastAsia="Times New Roman" w:hAnsi="Verdana" w:cs="Times New Roman"/>
                <w:sz w:val="18"/>
                <w:szCs w:val="18"/>
                <w:lang w:eastAsia="tr-TR"/>
              </w:rPr>
              <w:t xml:space="preserve">: G. </w:t>
            </w:r>
            <w:proofErr w:type="spellStart"/>
            <w:r w:rsidRPr="00B4242B">
              <w:rPr>
                <w:rFonts w:ascii="Verdana" w:eastAsia="Times New Roman" w:hAnsi="Verdana" w:cs="Times New Roman"/>
                <w:sz w:val="18"/>
                <w:szCs w:val="18"/>
                <w:lang w:eastAsia="tr-TR"/>
              </w:rPr>
              <w:t>Balladore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Pallieri</w:t>
            </w:r>
            <w:proofErr w:type="spellEnd"/>
            <w:r w:rsidRPr="00B4242B">
              <w:rPr>
                <w:rFonts w:ascii="Verdana" w:eastAsia="Times New Roman" w:hAnsi="Verdana" w:cs="Times New Roman"/>
                <w:sz w:val="18"/>
                <w:szCs w:val="18"/>
                <w:lang w:eastAsia="tr-TR"/>
              </w:rPr>
              <w:t xml:space="preserve"> (Başkan), H. </w:t>
            </w:r>
            <w:proofErr w:type="spellStart"/>
            <w:r w:rsidRPr="00B4242B">
              <w:rPr>
                <w:rFonts w:ascii="Verdana" w:eastAsia="Times New Roman" w:hAnsi="Verdana" w:cs="Times New Roman"/>
                <w:sz w:val="18"/>
                <w:szCs w:val="18"/>
                <w:lang w:eastAsia="tr-TR"/>
              </w:rPr>
              <w:t>Mosler</w:t>
            </w:r>
            <w:proofErr w:type="spellEnd"/>
            <w:r w:rsidRPr="00B4242B">
              <w:rPr>
                <w:rFonts w:ascii="Verdana" w:eastAsia="Times New Roman" w:hAnsi="Verdana" w:cs="Times New Roman"/>
                <w:sz w:val="18"/>
                <w:szCs w:val="18"/>
                <w:lang w:eastAsia="tr-TR"/>
              </w:rPr>
              <w:t xml:space="preserve">, M. </w:t>
            </w:r>
            <w:proofErr w:type="spellStart"/>
            <w:r w:rsidRPr="00B4242B">
              <w:rPr>
                <w:rFonts w:ascii="Verdana" w:eastAsia="Times New Roman" w:hAnsi="Verdana" w:cs="Times New Roman"/>
                <w:sz w:val="18"/>
                <w:szCs w:val="18"/>
                <w:lang w:eastAsia="tr-TR"/>
              </w:rPr>
              <w:t>Zekia</w:t>
            </w:r>
            <w:proofErr w:type="spellEnd"/>
            <w:r w:rsidRPr="00B4242B">
              <w:rPr>
                <w:rFonts w:ascii="Verdana" w:eastAsia="Times New Roman" w:hAnsi="Verdana" w:cs="Times New Roman"/>
                <w:sz w:val="18"/>
                <w:szCs w:val="18"/>
                <w:lang w:eastAsia="tr-TR"/>
              </w:rPr>
              <w:t xml:space="preserve">, G. </w:t>
            </w:r>
            <w:proofErr w:type="spellStart"/>
            <w:r w:rsidRPr="00B4242B">
              <w:rPr>
                <w:rFonts w:ascii="Verdana" w:eastAsia="Times New Roman" w:hAnsi="Verdana" w:cs="Times New Roman"/>
                <w:sz w:val="18"/>
                <w:szCs w:val="18"/>
                <w:lang w:eastAsia="tr-TR"/>
              </w:rPr>
              <w:t>Wiarda</w:t>
            </w:r>
            <w:proofErr w:type="spellEnd"/>
            <w:r w:rsidRPr="00B4242B">
              <w:rPr>
                <w:rFonts w:ascii="Verdana" w:eastAsia="Times New Roman" w:hAnsi="Verdana" w:cs="Times New Roman"/>
                <w:sz w:val="18"/>
                <w:szCs w:val="18"/>
                <w:lang w:eastAsia="tr-TR"/>
              </w:rPr>
              <w:t xml:space="preserve">, H. Pedersen, </w:t>
            </w:r>
            <w:proofErr w:type="spellStart"/>
            <w:r w:rsidRPr="00B4242B">
              <w:rPr>
                <w:rFonts w:ascii="Verdana" w:eastAsia="Times New Roman" w:hAnsi="Verdana" w:cs="Times New Roman"/>
                <w:sz w:val="18"/>
                <w:szCs w:val="18"/>
                <w:lang w:eastAsia="tr-TR"/>
              </w:rPr>
              <w:t>Thor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Vilhjalmsson</w:t>
            </w:r>
            <w:proofErr w:type="spellEnd"/>
            <w:r w:rsidRPr="00B4242B">
              <w:rPr>
                <w:rFonts w:ascii="Verdana" w:eastAsia="Times New Roman" w:hAnsi="Verdana" w:cs="Times New Roman"/>
                <w:sz w:val="18"/>
                <w:szCs w:val="18"/>
                <w:lang w:eastAsia="tr-TR"/>
              </w:rPr>
              <w:t xml:space="preserve">, S. </w:t>
            </w:r>
            <w:proofErr w:type="spellStart"/>
            <w:r w:rsidRPr="00B4242B">
              <w:rPr>
                <w:rFonts w:ascii="Verdana" w:eastAsia="Times New Roman" w:hAnsi="Verdana" w:cs="Times New Roman"/>
                <w:sz w:val="18"/>
                <w:szCs w:val="18"/>
                <w:lang w:eastAsia="tr-TR"/>
              </w:rPr>
              <w:t>Petren</w:t>
            </w:r>
            <w:proofErr w:type="spellEnd"/>
            <w:r w:rsidRPr="00B4242B">
              <w:rPr>
                <w:rFonts w:ascii="Verdana" w:eastAsia="Times New Roman" w:hAnsi="Verdana" w:cs="Times New Roman"/>
                <w:sz w:val="18"/>
                <w:szCs w:val="18"/>
                <w:lang w:eastAsia="tr-TR"/>
              </w:rPr>
              <w:t xml:space="preserve">, R. </w:t>
            </w:r>
            <w:proofErr w:type="spellStart"/>
            <w:r w:rsidRPr="00B4242B">
              <w:rPr>
                <w:rFonts w:ascii="Verdana" w:eastAsia="Times New Roman" w:hAnsi="Verdana" w:cs="Times New Roman"/>
                <w:sz w:val="18"/>
                <w:szCs w:val="18"/>
                <w:lang w:eastAsia="tr-TR"/>
              </w:rPr>
              <w:t>Ryssdal</w:t>
            </w:r>
            <w:proofErr w:type="spellEnd"/>
            <w:r w:rsidRPr="00B4242B">
              <w:rPr>
                <w:rFonts w:ascii="Verdana" w:eastAsia="Times New Roman" w:hAnsi="Verdana" w:cs="Times New Roman"/>
                <w:sz w:val="18"/>
                <w:szCs w:val="18"/>
                <w:lang w:eastAsia="tr-TR"/>
              </w:rPr>
              <w:t xml:space="preserve">, A. Bozer, W. </w:t>
            </w:r>
            <w:proofErr w:type="spellStart"/>
            <w:r w:rsidRPr="00B4242B">
              <w:rPr>
                <w:rFonts w:ascii="Verdana" w:eastAsia="Times New Roman" w:hAnsi="Verdana" w:cs="Times New Roman"/>
                <w:sz w:val="18"/>
                <w:szCs w:val="18"/>
                <w:lang w:eastAsia="tr-TR"/>
              </w:rPr>
              <w:t>Ganshof</w:t>
            </w:r>
            <w:proofErr w:type="spellEnd"/>
            <w:r w:rsidRPr="00B4242B">
              <w:rPr>
                <w:rFonts w:ascii="Verdana" w:eastAsia="Times New Roman" w:hAnsi="Verdana" w:cs="Times New Roman"/>
                <w:sz w:val="18"/>
                <w:szCs w:val="18"/>
                <w:lang w:eastAsia="tr-TR"/>
              </w:rPr>
              <w:t xml:space="preserve"> Van Der </w:t>
            </w:r>
            <w:proofErr w:type="spellStart"/>
            <w:r w:rsidRPr="00B4242B">
              <w:rPr>
                <w:rFonts w:ascii="Verdana" w:eastAsia="Times New Roman" w:hAnsi="Verdana" w:cs="Times New Roman"/>
                <w:sz w:val="18"/>
                <w:szCs w:val="18"/>
                <w:lang w:eastAsia="tr-TR"/>
              </w:rPr>
              <w:t>Meersch</w:t>
            </w:r>
            <w:proofErr w:type="spellEnd"/>
            <w:r w:rsidRPr="00B4242B">
              <w:rPr>
                <w:rFonts w:ascii="Verdana" w:eastAsia="Times New Roman" w:hAnsi="Verdana" w:cs="Times New Roman"/>
                <w:sz w:val="18"/>
                <w:szCs w:val="18"/>
                <w:lang w:eastAsia="tr-TR"/>
              </w:rPr>
              <w:t xml:space="preserve">, G. </w:t>
            </w:r>
            <w:proofErr w:type="spellStart"/>
            <w:r w:rsidRPr="00B4242B">
              <w:rPr>
                <w:rFonts w:ascii="Verdana" w:eastAsia="Times New Roman" w:hAnsi="Verdana" w:cs="Times New Roman"/>
                <w:sz w:val="18"/>
                <w:szCs w:val="18"/>
                <w:lang w:eastAsia="tr-TR"/>
              </w:rPr>
              <w:t>Fitzmaurice</w:t>
            </w:r>
            <w:proofErr w:type="spellEnd"/>
            <w:r w:rsidRPr="00B4242B">
              <w:rPr>
                <w:rFonts w:ascii="Verdana" w:eastAsia="Times New Roman" w:hAnsi="Verdana" w:cs="Times New Roman"/>
                <w:sz w:val="18"/>
                <w:szCs w:val="18"/>
                <w:lang w:eastAsia="tr-TR"/>
              </w:rPr>
              <w:t xml:space="preserve">, D. </w:t>
            </w:r>
            <w:proofErr w:type="spellStart"/>
            <w:r w:rsidRPr="00B4242B">
              <w:rPr>
                <w:rFonts w:ascii="Verdana" w:eastAsia="Times New Roman" w:hAnsi="Verdana" w:cs="Times New Roman"/>
                <w:sz w:val="18"/>
                <w:szCs w:val="18"/>
                <w:lang w:eastAsia="tr-TR"/>
              </w:rPr>
              <w:t>Bındschedler</w:t>
            </w:r>
            <w:proofErr w:type="spellEnd"/>
            <w:r w:rsidRPr="00B4242B">
              <w:rPr>
                <w:rFonts w:ascii="Verdana" w:eastAsia="Times New Roman" w:hAnsi="Verdana" w:cs="Times New Roman"/>
                <w:sz w:val="18"/>
                <w:szCs w:val="18"/>
                <w:lang w:eastAsia="tr-TR"/>
              </w:rPr>
              <w:t xml:space="preserve">-Robert, D. </w:t>
            </w:r>
            <w:proofErr w:type="spellStart"/>
            <w:r w:rsidRPr="00B4242B">
              <w:rPr>
                <w:rFonts w:ascii="Verdana" w:eastAsia="Times New Roman" w:hAnsi="Verdana" w:cs="Times New Roman"/>
                <w:sz w:val="18"/>
                <w:szCs w:val="18"/>
                <w:lang w:eastAsia="tr-TR"/>
              </w:rPr>
              <w:t>Evrigenis</w:t>
            </w:r>
            <w:proofErr w:type="spellEnd"/>
            <w:r w:rsidRPr="00B4242B">
              <w:rPr>
                <w:rFonts w:ascii="Verdana" w:eastAsia="Times New Roman" w:hAnsi="Verdana" w:cs="Times New Roman"/>
                <w:sz w:val="18"/>
                <w:szCs w:val="18"/>
                <w:lang w:eastAsia="tr-TR"/>
              </w:rPr>
              <w:t xml:space="preserve">, H. </w:t>
            </w:r>
            <w:proofErr w:type="spellStart"/>
            <w:r w:rsidRPr="00B4242B">
              <w:rPr>
                <w:rFonts w:ascii="Verdana" w:eastAsia="Times New Roman" w:hAnsi="Verdana" w:cs="Times New Roman"/>
                <w:sz w:val="18"/>
                <w:szCs w:val="18"/>
                <w:lang w:eastAsia="tr-TR"/>
              </w:rPr>
              <w:t>Delvaux</w:t>
            </w:r>
            <w:proofErr w:type="spellEnd"/>
            <w:r w:rsidRPr="00B4242B">
              <w:rPr>
                <w:rFonts w:ascii="Verdana" w:eastAsia="Times New Roman" w:hAnsi="Verdana" w:cs="Times New Roman"/>
                <w:sz w:val="18"/>
                <w:szCs w:val="18"/>
                <w:lang w:eastAsia="tr-TR"/>
              </w:rPr>
              <w:t> </w:t>
            </w:r>
            <w:r w:rsidRPr="00B4242B">
              <w:rPr>
                <w:rFonts w:ascii="Verdana" w:eastAsia="Times New Roman" w:hAnsi="Verdana" w:cs="Times New Roman"/>
                <w:b/>
                <w:bCs/>
                <w:i/>
                <w:iCs/>
                <w:sz w:val="18"/>
                <w:szCs w:val="18"/>
                <w:lang w:eastAsia="tr-TR"/>
              </w:rPr>
              <w:t>Yazı İşleri Md</w:t>
            </w:r>
            <w:proofErr w:type="gramStart"/>
            <w:r w:rsidRPr="00B4242B">
              <w:rPr>
                <w:rFonts w:ascii="Verdana" w:eastAsia="Times New Roman" w:hAnsi="Verdana" w:cs="Times New Roman"/>
                <w:b/>
                <w:bCs/>
                <w:i/>
                <w:iCs/>
                <w:sz w:val="18"/>
                <w:szCs w:val="18"/>
                <w:lang w:eastAsia="tr-TR"/>
              </w:rPr>
              <w:t>.</w:t>
            </w:r>
            <w:r w:rsidRPr="00B4242B">
              <w:rPr>
                <w:rFonts w:ascii="Verdana" w:eastAsia="Times New Roman" w:hAnsi="Verdana" w:cs="Times New Roman"/>
                <w:sz w:val="18"/>
                <w:szCs w:val="18"/>
                <w:lang w:eastAsia="tr-TR"/>
              </w:rPr>
              <w:t>:</w:t>
            </w:r>
            <w:proofErr w:type="gramEnd"/>
            <w:r w:rsidRPr="00B4242B">
              <w:rPr>
                <w:rFonts w:ascii="Verdana" w:eastAsia="Times New Roman" w:hAnsi="Verdana" w:cs="Times New Roman"/>
                <w:sz w:val="18"/>
                <w:szCs w:val="18"/>
                <w:lang w:eastAsia="tr-TR"/>
              </w:rPr>
              <w:t xml:space="preserve"> A. </w:t>
            </w:r>
            <w:proofErr w:type="spellStart"/>
            <w:r w:rsidRPr="00B4242B">
              <w:rPr>
                <w:rFonts w:ascii="Verdana" w:eastAsia="Times New Roman" w:hAnsi="Verdana" w:cs="Times New Roman"/>
                <w:sz w:val="18"/>
                <w:szCs w:val="18"/>
                <w:lang w:eastAsia="tr-TR"/>
              </w:rPr>
              <w:t>Eissen</w:t>
            </w:r>
            <w:proofErr w:type="spellEnd"/>
            <w:r w:rsidRPr="00B4242B">
              <w:rPr>
                <w:rFonts w:ascii="Verdana" w:eastAsia="Times New Roman" w:hAnsi="Verdana" w:cs="Times New Roman"/>
                <w:sz w:val="18"/>
                <w:szCs w:val="18"/>
                <w:lang w:eastAsia="tr-TR"/>
              </w:rPr>
              <w:t>, </w:t>
            </w:r>
            <w:r w:rsidRPr="00B4242B">
              <w:rPr>
                <w:rFonts w:ascii="Verdana" w:eastAsia="Times New Roman" w:hAnsi="Verdana" w:cs="Times New Roman"/>
                <w:b/>
                <w:bCs/>
                <w:i/>
                <w:iCs/>
                <w:sz w:val="18"/>
                <w:szCs w:val="18"/>
                <w:lang w:eastAsia="tr-TR"/>
              </w:rPr>
              <w:t>Md. Yrd.</w:t>
            </w:r>
            <w:r w:rsidRPr="00B4242B">
              <w:rPr>
                <w:rFonts w:ascii="Verdana" w:eastAsia="Times New Roman" w:hAnsi="Verdana" w:cs="Times New Roman"/>
                <w:sz w:val="18"/>
                <w:szCs w:val="18"/>
                <w:lang w:eastAsia="tr-TR"/>
              </w:rPr>
              <w:t xml:space="preserve">: H. </w:t>
            </w:r>
            <w:proofErr w:type="spellStart"/>
            <w:r w:rsidRPr="00B4242B">
              <w:rPr>
                <w:rFonts w:ascii="Verdana" w:eastAsia="Times New Roman" w:hAnsi="Verdana" w:cs="Times New Roman"/>
                <w:sz w:val="18"/>
                <w:szCs w:val="18"/>
                <w:lang w:eastAsia="tr-TR"/>
              </w:rPr>
              <w:t>Petzold</w:t>
            </w:r>
            <w:proofErr w:type="spellEnd"/>
            <w:r w:rsidRPr="00B4242B">
              <w:rPr>
                <w:rFonts w:ascii="Verdana" w:eastAsia="Times New Roman" w:hAnsi="Verdana" w:cs="Times New Roman"/>
                <w:sz w:val="18"/>
                <w:szCs w:val="18"/>
                <w:lang w:eastAsia="tr-TR"/>
              </w:rPr>
              <w:t> </w:t>
            </w:r>
          </w:p>
        </w:tc>
      </w:tr>
      <w:tr w:rsidR="00B4242B" w:rsidRPr="00B4242B" w:rsidTr="00B4242B">
        <w:trPr>
          <w:tblCellSpacing w:w="0" w:type="dxa"/>
        </w:trPr>
        <w:tc>
          <w:tcPr>
            <w:tcW w:w="867"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Karar Sıra </w:t>
            </w:r>
            <w:proofErr w:type="spellStart"/>
            <w:r w:rsidRPr="00B4242B">
              <w:rPr>
                <w:rFonts w:ascii="Verdana" w:eastAsia="Times New Roman" w:hAnsi="Verdana" w:cs="Times New Roman"/>
                <w:sz w:val="18"/>
                <w:szCs w:val="18"/>
                <w:lang w:eastAsia="tr-TR"/>
              </w:rPr>
              <w:t>no</w:t>
            </w:r>
            <w:proofErr w:type="spellEnd"/>
            <w:r w:rsidRPr="00B4242B">
              <w:rPr>
                <w:rFonts w:ascii="Verdana" w:eastAsia="Times New Roman" w:hAnsi="Verdana" w:cs="Times New Roman"/>
                <w:sz w:val="18"/>
                <w:szCs w:val="18"/>
                <w:lang w:eastAsia="tr-TR"/>
              </w:rPr>
              <w:t>:</w:t>
            </w:r>
          </w:p>
        </w:tc>
        <w:tc>
          <w:tcPr>
            <w:tcW w:w="882"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25</w:t>
            </w:r>
            <w:r w:rsidRPr="00B4242B">
              <w:rPr>
                <w:rFonts w:ascii="Verdana" w:eastAsia="Times New Roman" w:hAnsi="Verdana" w:cs="Times New Roman"/>
                <w:sz w:val="18"/>
                <w:szCs w:val="18"/>
                <w:lang w:eastAsia="tr-TR"/>
              </w:rPr>
              <w:t> </w:t>
            </w:r>
          </w:p>
        </w:tc>
        <w:tc>
          <w:tcPr>
            <w:tcW w:w="689"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Dava Adı:</w:t>
            </w:r>
          </w:p>
        </w:tc>
        <w:tc>
          <w:tcPr>
            <w:tcW w:w="2561"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HANDYSIDE</w:t>
            </w:r>
            <w:r w:rsidRPr="00B4242B">
              <w:rPr>
                <w:rFonts w:ascii="Verdana" w:eastAsia="Times New Roman" w:hAnsi="Verdana" w:cs="Times New Roman"/>
                <w:sz w:val="18"/>
                <w:szCs w:val="18"/>
                <w:lang w:eastAsia="tr-TR"/>
              </w:rPr>
              <w:t> </w:t>
            </w:r>
          </w:p>
        </w:tc>
      </w:tr>
      <w:tr w:rsidR="00B4242B" w:rsidRPr="00B4242B" w:rsidTr="00B4242B">
        <w:trPr>
          <w:tblCellSpacing w:w="0" w:type="dxa"/>
        </w:trPr>
        <w:tc>
          <w:tcPr>
            <w:tcW w:w="867"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Karar Tarihi:</w:t>
            </w:r>
          </w:p>
        </w:tc>
        <w:tc>
          <w:tcPr>
            <w:tcW w:w="882"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07.12.1976</w:t>
            </w:r>
            <w:r w:rsidRPr="00B4242B">
              <w:rPr>
                <w:rFonts w:ascii="Verdana" w:eastAsia="Times New Roman" w:hAnsi="Verdana" w:cs="Times New Roman"/>
                <w:sz w:val="18"/>
                <w:szCs w:val="18"/>
                <w:lang w:eastAsia="tr-TR"/>
              </w:rPr>
              <w:t> </w:t>
            </w:r>
          </w:p>
        </w:tc>
        <w:tc>
          <w:tcPr>
            <w:tcW w:w="689"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Davalı Devlet:</w:t>
            </w:r>
          </w:p>
        </w:tc>
        <w:tc>
          <w:tcPr>
            <w:tcW w:w="2561"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BİRLEŞİK KRALLIK</w:t>
            </w:r>
            <w:r w:rsidRPr="00B4242B">
              <w:rPr>
                <w:rFonts w:ascii="Verdana" w:eastAsia="Times New Roman" w:hAnsi="Verdana" w:cs="Times New Roman"/>
                <w:sz w:val="18"/>
                <w:szCs w:val="18"/>
                <w:lang w:eastAsia="tr-TR"/>
              </w:rPr>
              <w:t> </w:t>
            </w:r>
          </w:p>
        </w:tc>
      </w:tr>
      <w:tr w:rsidR="00B4242B" w:rsidRPr="00B4242B" w:rsidTr="00B4242B">
        <w:trPr>
          <w:tblCellSpacing w:w="0" w:type="dxa"/>
        </w:trPr>
        <w:tc>
          <w:tcPr>
            <w:tcW w:w="867"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Başvuru </w:t>
            </w:r>
            <w:proofErr w:type="spellStart"/>
            <w:r w:rsidRPr="00B4242B">
              <w:rPr>
                <w:rFonts w:ascii="Verdana" w:eastAsia="Times New Roman" w:hAnsi="Verdana" w:cs="Times New Roman"/>
                <w:sz w:val="18"/>
                <w:szCs w:val="18"/>
                <w:lang w:eastAsia="tr-TR"/>
              </w:rPr>
              <w:t>no</w:t>
            </w:r>
            <w:proofErr w:type="spellEnd"/>
            <w:r w:rsidRPr="00B4242B">
              <w:rPr>
                <w:rFonts w:ascii="Verdana" w:eastAsia="Times New Roman" w:hAnsi="Verdana" w:cs="Times New Roman"/>
                <w:sz w:val="18"/>
                <w:szCs w:val="18"/>
                <w:lang w:eastAsia="tr-TR"/>
              </w:rPr>
              <w:t>:</w:t>
            </w:r>
          </w:p>
        </w:tc>
        <w:tc>
          <w:tcPr>
            <w:tcW w:w="882"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5493/72</w:t>
            </w:r>
            <w:r w:rsidRPr="00B4242B">
              <w:rPr>
                <w:rFonts w:ascii="Verdana" w:eastAsia="Times New Roman" w:hAnsi="Verdana" w:cs="Times New Roman"/>
                <w:sz w:val="18"/>
                <w:szCs w:val="18"/>
                <w:lang w:eastAsia="tr-TR"/>
              </w:rPr>
              <w:t> </w:t>
            </w:r>
          </w:p>
        </w:tc>
        <w:tc>
          <w:tcPr>
            <w:tcW w:w="689"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Çeviren:</w:t>
            </w:r>
          </w:p>
        </w:tc>
        <w:tc>
          <w:tcPr>
            <w:tcW w:w="2561" w:type="pct"/>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Osman Doğru</w:t>
            </w:r>
            <w:r w:rsidRPr="00B4242B">
              <w:rPr>
                <w:rFonts w:ascii="Verdana" w:eastAsia="Times New Roman" w:hAnsi="Verdana" w:cs="Times New Roman"/>
                <w:sz w:val="18"/>
                <w:szCs w:val="18"/>
                <w:lang w:eastAsia="tr-TR"/>
              </w:rPr>
              <w:t> </w:t>
            </w:r>
          </w:p>
        </w:tc>
      </w:tr>
      <w:tr w:rsidR="00B4242B" w:rsidRPr="00B4242B" w:rsidTr="00B4242B">
        <w:trPr>
          <w:tblCellSpacing w:w="0" w:type="dxa"/>
        </w:trPr>
        <w:tc>
          <w:tcPr>
            <w:tcW w:w="867" w:type="pct"/>
            <w:tcBorders>
              <w:top w:val="outset" w:sz="6" w:space="0" w:color="auto"/>
              <w:left w:val="outset" w:sz="6" w:space="0" w:color="auto"/>
              <w:bottom w:val="outset" w:sz="6" w:space="0" w:color="auto"/>
              <w:right w:val="outset" w:sz="6" w:space="0" w:color="auto"/>
            </w:tcBorders>
            <w:shd w:val="clear" w:color="auto" w:fill="567DBE"/>
            <w:hideMark/>
          </w:tcPr>
          <w:p w:rsidR="00B4242B" w:rsidRPr="00B4242B" w:rsidRDefault="00B4242B" w:rsidP="00B4242B">
            <w:pPr>
              <w:spacing w:after="0" w:line="240" w:lineRule="auto"/>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Karar Özü:</w:t>
            </w:r>
          </w:p>
        </w:tc>
        <w:tc>
          <w:tcPr>
            <w:tcW w:w="4133" w:type="pct"/>
            <w:gridSpan w:val="3"/>
            <w:tcBorders>
              <w:top w:val="outset" w:sz="6" w:space="0" w:color="auto"/>
              <w:left w:val="outset" w:sz="6" w:space="0" w:color="auto"/>
              <w:bottom w:val="outset" w:sz="6" w:space="0" w:color="auto"/>
              <w:right w:val="outset" w:sz="6" w:space="0" w:color="auto"/>
            </w:tcBorders>
            <w:shd w:val="clear" w:color="auto" w:fill="567DBE"/>
            <w:vAlign w:val="center"/>
            <w:hideMark/>
          </w:tcPr>
          <w:p w:rsidR="00B4242B" w:rsidRPr="00B4242B" w:rsidRDefault="00B4242B" w:rsidP="00B4242B">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B4242B">
              <w:rPr>
                <w:rFonts w:ascii="Verdana" w:eastAsia="Times New Roman" w:hAnsi="Verdana" w:cs="Times New Roman"/>
                <w:sz w:val="18"/>
                <w:szCs w:val="18"/>
                <w:lang w:eastAsia="tr-TR"/>
              </w:rPr>
              <w:t>İFADE ÖZGÜRLÜĞÜ--müstehcen yayın--hukuken öngörülebilirlik--ahlakı koruma amacı--demokratik toplumda gereklilik--Küçük Kırmızı Ders Kitabı adlı cinsel bilgiler içiren 12 ve daha yukarı gençlere hitap eden eğitimle ilgili kitabın müstehcen bulunarak toplatılması, yayıncısına para cezası verilmesi, kitapların müsaderesi ve imhası--Md 10: ihlal edilmediğine</w:t>
            </w:r>
          </w:p>
          <w:p w:rsidR="00B4242B" w:rsidRPr="00B4242B" w:rsidRDefault="00B4242B" w:rsidP="00B4242B">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B4242B">
              <w:rPr>
                <w:rFonts w:ascii="Verdana" w:eastAsia="Times New Roman" w:hAnsi="Verdana" w:cs="Times New Roman"/>
                <w:sz w:val="18"/>
                <w:szCs w:val="18"/>
                <w:lang w:eastAsia="tr-TR"/>
              </w:rPr>
              <w:t>MÜLKİYET HAKKI--mülkiyetin kontrolü--müsadere--müstehcen bulunup suç eşyası sayılan müsadere edilmiş kitapların ve matrislerinin imha edilmesi--P1, md 1: ihlal edilmediğine</w:t>
            </w:r>
          </w:p>
          <w:p w:rsidR="00B4242B" w:rsidRPr="00B4242B" w:rsidRDefault="00B4242B" w:rsidP="00B4242B">
            <w:pPr>
              <w:spacing w:after="0" w:line="240" w:lineRule="auto"/>
              <w:ind w:hanging="300"/>
              <w:rPr>
                <w:rFonts w:ascii="Verdana" w:eastAsia="Times New Roman" w:hAnsi="Verdana" w:cs="Times New Roman"/>
                <w:sz w:val="18"/>
                <w:szCs w:val="18"/>
                <w:lang w:eastAsia="tr-TR"/>
              </w:rPr>
            </w:pPr>
            <w:r>
              <w:rPr>
                <w:rFonts w:ascii="Verdana" w:eastAsia="Times New Roman" w:hAnsi="Verdana" w:cs="Times New Roman"/>
                <w:sz w:val="18"/>
                <w:szCs w:val="18"/>
                <w:lang w:eastAsia="tr-TR"/>
              </w:rPr>
              <w:t xml:space="preserve">     </w:t>
            </w:r>
            <w:r w:rsidRPr="00B4242B">
              <w:rPr>
                <w:rFonts w:ascii="Verdana" w:eastAsia="Times New Roman" w:hAnsi="Verdana" w:cs="Times New Roman"/>
                <w:sz w:val="18"/>
                <w:szCs w:val="18"/>
                <w:lang w:eastAsia="tr-TR"/>
              </w:rPr>
              <w:t>AYRIMCILIK YASAĞI--ifade özgürlüğü konusunda ayrımcılık--siyasi görüşler arasında farklı muamele--aslında yayıncının daha önce yayınladığı siyasal kitaplar nedeniyle yayınevleri arasında farklı muamele--Md 14 &gt; Md 10: ihlal edilmediğine</w:t>
            </w:r>
          </w:p>
        </w:tc>
      </w:tr>
      <w:tr w:rsidR="00B4242B" w:rsidRPr="00B4242B" w:rsidTr="00882824">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EDEDED" w:themeFill="accent3" w:themeFillTint="33"/>
            <w:vAlign w:val="center"/>
            <w:hideMark/>
          </w:tcPr>
          <w:p w:rsidR="00B4242B" w:rsidRPr="00B4242B" w:rsidRDefault="00B4242B" w:rsidP="00B4242B">
            <w:pPr>
              <w:spacing w:before="100" w:beforeAutospacing="1" w:after="100" w:afterAutospacing="1" w:line="240" w:lineRule="auto"/>
              <w:jc w:val="center"/>
              <w:outlineLvl w:val="0"/>
              <w:rPr>
                <w:rFonts w:ascii="Verdana" w:eastAsia="Times New Roman" w:hAnsi="Verdana" w:cs="Times New Roman"/>
                <w:b/>
                <w:bCs/>
                <w:kern w:val="36"/>
                <w:sz w:val="36"/>
                <w:szCs w:val="36"/>
                <w:lang w:eastAsia="tr-TR"/>
              </w:rPr>
            </w:pPr>
            <w:r w:rsidRPr="00B4242B">
              <w:rPr>
                <w:rFonts w:ascii="Verdana" w:eastAsia="Times New Roman" w:hAnsi="Verdana" w:cs="Times New Roman"/>
                <w:b/>
                <w:bCs/>
                <w:kern w:val="36"/>
                <w:sz w:val="36"/>
                <w:szCs w:val="36"/>
                <w:lang w:eastAsia="tr-TR"/>
              </w:rPr>
              <w:t>DAVANIN ESASI</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I. Olayların Gelişimi</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9. </w:t>
            </w:r>
            <w:r w:rsidRPr="00B4242B">
              <w:rPr>
                <w:rFonts w:ascii="Verdana" w:eastAsia="Times New Roman" w:hAnsi="Verdana" w:cs="Times New Roman"/>
                <w:sz w:val="18"/>
                <w:szCs w:val="18"/>
                <w:lang w:eastAsia="tr-TR"/>
              </w:rPr>
              <w:t xml:space="preserve">Başvurucu Richard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1968'de Londra'da açtığı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 adlı yayıncılık firmasının sahibidir.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başka kitapların yanı sıra, (bundan sonra "Ders Kitabı" diye geçecek olan) dava konusu Küçük Kırmızı Ders Kitabı'nın ilk baskısını ve 15 Kasım 1971'de çıkan gözden geçirilmiş baskısını yayınlamıştır.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10. </w:t>
            </w:r>
            <w:r w:rsidRPr="00B4242B">
              <w:rPr>
                <w:rFonts w:ascii="Verdana" w:eastAsia="Times New Roman" w:hAnsi="Verdana" w:cs="Times New Roman"/>
                <w:sz w:val="18"/>
                <w:szCs w:val="18"/>
                <w:lang w:eastAsia="tr-TR"/>
              </w:rPr>
              <w:t xml:space="preserve">Başvurucunun firması daha önce, Che </w:t>
            </w:r>
            <w:proofErr w:type="spellStart"/>
            <w:r w:rsidRPr="00B4242B">
              <w:rPr>
                <w:rFonts w:ascii="Verdana" w:eastAsia="Times New Roman" w:hAnsi="Verdana" w:cs="Times New Roman"/>
                <w:sz w:val="18"/>
                <w:szCs w:val="18"/>
                <w:lang w:eastAsia="tr-TR"/>
              </w:rPr>
              <w:t>Guevara'dan</w:t>
            </w:r>
            <w:proofErr w:type="spellEnd"/>
            <w:r w:rsidRPr="00B4242B">
              <w:rPr>
                <w:rFonts w:ascii="Verdana" w:eastAsia="Times New Roman" w:hAnsi="Verdana" w:cs="Times New Roman"/>
                <w:sz w:val="18"/>
                <w:szCs w:val="18"/>
                <w:lang w:eastAsia="tr-TR"/>
              </w:rPr>
              <w:t xml:space="preserve"> Küba'da İnsan ve </w:t>
            </w:r>
            <w:proofErr w:type="spellStart"/>
            <w:r w:rsidRPr="00B4242B">
              <w:rPr>
                <w:rFonts w:ascii="Verdana" w:eastAsia="Times New Roman" w:hAnsi="Verdana" w:cs="Times New Roman"/>
                <w:sz w:val="18"/>
                <w:szCs w:val="18"/>
                <w:lang w:eastAsia="tr-TR"/>
              </w:rPr>
              <w:t>Sosyalizm'i</w:t>
            </w:r>
            <w:proofErr w:type="spellEnd"/>
            <w:r w:rsidRPr="00B4242B">
              <w:rPr>
                <w:rFonts w:ascii="Verdana" w:eastAsia="Times New Roman" w:hAnsi="Verdana" w:cs="Times New Roman"/>
                <w:sz w:val="18"/>
                <w:szCs w:val="18"/>
                <w:lang w:eastAsia="tr-TR"/>
              </w:rPr>
              <w:t xml:space="preserve">, Fidel Castro'dan Başlıca </w:t>
            </w:r>
            <w:proofErr w:type="spellStart"/>
            <w:proofErr w:type="gramStart"/>
            <w:r w:rsidRPr="00B4242B">
              <w:rPr>
                <w:rFonts w:ascii="Verdana" w:eastAsia="Times New Roman" w:hAnsi="Verdana" w:cs="Times New Roman"/>
                <w:sz w:val="18"/>
                <w:szCs w:val="18"/>
                <w:lang w:eastAsia="tr-TR"/>
              </w:rPr>
              <w:t>Söylevler'i</w:t>
            </w:r>
            <w:proofErr w:type="spellEnd"/>
            <w:r w:rsidRPr="00B4242B">
              <w:rPr>
                <w:rFonts w:ascii="Verdana" w:eastAsia="Times New Roman" w:hAnsi="Verdana" w:cs="Times New Roman"/>
                <w:sz w:val="18"/>
                <w:szCs w:val="18"/>
                <w:lang w:eastAsia="tr-TR"/>
              </w:rPr>
              <w:t>,</w:t>
            </w:r>
            <w:proofErr w:type="gram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Amilcar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Cabral'dan</w:t>
            </w:r>
            <w:proofErr w:type="spellEnd"/>
            <w:r w:rsidRPr="00B4242B">
              <w:rPr>
                <w:rFonts w:ascii="Verdana" w:eastAsia="Times New Roman" w:hAnsi="Verdana" w:cs="Times New Roman"/>
                <w:sz w:val="18"/>
                <w:szCs w:val="18"/>
                <w:lang w:eastAsia="tr-TR"/>
              </w:rPr>
              <w:t xml:space="preserve"> Gine'de Devrim'i yayınlamıştır. 1971 yılına kadar ayrıca, </w:t>
            </w:r>
            <w:proofErr w:type="spellStart"/>
            <w:r w:rsidRPr="00B4242B">
              <w:rPr>
                <w:rFonts w:ascii="Verdana" w:eastAsia="Times New Roman" w:hAnsi="Verdana" w:cs="Times New Roman"/>
                <w:sz w:val="18"/>
                <w:szCs w:val="18"/>
                <w:lang w:eastAsia="tr-TR"/>
              </w:rPr>
              <w:t>Eldridge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Cleaver'dan</w:t>
            </w:r>
            <w:proofErr w:type="spellEnd"/>
            <w:r w:rsidRPr="00B4242B">
              <w:rPr>
                <w:rFonts w:ascii="Verdana" w:eastAsia="Times New Roman" w:hAnsi="Verdana" w:cs="Times New Roman"/>
                <w:sz w:val="18"/>
                <w:szCs w:val="18"/>
                <w:lang w:eastAsia="tr-TR"/>
              </w:rPr>
              <w:t xml:space="preserve"> Kongo'da Devrim, Kadınların Kurtuluş Hareketi ile ilgili yazıların yer aldığı Body </w:t>
            </w:r>
            <w:proofErr w:type="spellStart"/>
            <w:r w:rsidRPr="00B4242B">
              <w:rPr>
                <w:rFonts w:ascii="Verdana" w:eastAsia="Times New Roman" w:hAnsi="Verdana" w:cs="Times New Roman"/>
                <w:sz w:val="18"/>
                <w:szCs w:val="18"/>
                <w:lang w:eastAsia="tr-TR"/>
              </w:rPr>
              <w:t>Politic</w:t>
            </w:r>
            <w:proofErr w:type="spellEnd"/>
            <w:r w:rsidRPr="00B4242B">
              <w:rPr>
                <w:rFonts w:ascii="Verdana" w:eastAsia="Times New Roman" w:hAnsi="Verdana" w:cs="Times New Roman"/>
                <w:sz w:val="18"/>
                <w:szCs w:val="18"/>
                <w:lang w:eastAsia="tr-TR"/>
              </w:rPr>
              <w:t xml:space="preserve">, John ve </w:t>
            </w:r>
            <w:proofErr w:type="spellStart"/>
            <w:r w:rsidRPr="00B4242B">
              <w:rPr>
                <w:rFonts w:ascii="Verdana" w:eastAsia="Times New Roman" w:hAnsi="Verdana" w:cs="Times New Roman"/>
                <w:sz w:val="18"/>
                <w:szCs w:val="18"/>
                <w:lang w:eastAsia="tr-TR"/>
              </w:rPr>
              <w:t>Elsei</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Collier'den</w:t>
            </w:r>
            <w:proofErr w:type="spellEnd"/>
            <w:r w:rsidRPr="00B4242B">
              <w:rPr>
                <w:rFonts w:ascii="Verdana" w:eastAsia="Times New Roman" w:hAnsi="Verdana" w:cs="Times New Roman"/>
                <w:sz w:val="18"/>
                <w:szCs w:val="18"/>
                <w:lang w:eastAsia="tr-TR"/>
              </w:rPr>
              <w:t xml:space="preserve"> Çin Sosyalist Devrimi ve </w:t>
            </w:r>
            <w:proofErr w:type="spellStart"/>
            <w:r w:rsidRPr="00B4242B">
              <w:rPr>
                <w:rFonts w:ascii="Verdana" w:eastAsia="Times New Roman" w:hAnsi="Verdana" w:cs="Times New Roman"/>
                <w:sz w:val="18"/>
                <w:szCs w:val="18"/>
                <w:lang w:eastAsia="tr-TR"/>
              </w:rPr>
              <w:t>Tony</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Beck'ten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The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Fine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Tubes</w:t>
            </w:r>
            <w:proofErr w:type="spellEnd"/>
            <w:r w:rsidRPr="00B4242B">
              <w:rPr>
                <w:rFonts w:ascii="Verdana" w:eastAsia="Times New Roman" w:hAnsi="Verdana" w:cs="Times New Roman"/>
                <w:sz w:val="18"/>
                <w:szCs w:val="18"/>
                <w:lang w:eastAsia="tr-TR"/>
              </w:rPr>
              <w:t xml:space="preserve"> Strike adlı kitapları da yayınlamıştır.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11. </w:t>
            </w:r>
            <w:r w:rsidRPr="00B4242B">
              <w:rPr>
                <w:rFonts w:ascii="Verdana" w:eastAsia="Times New Roman" w:hAnsi="Verdana" w:cs="Times New Roman"/>
                <w:sz w:val="18"/>
                <w:szCs w:val="18"/>
                <w:lang w:eastAsia="tr-TR"/>
              </w:rPr>
              <w:t xml:space="preserve">Başvurucu Eylül 1970'te, Danimarkalı yazarlar </w:t>
            </w:r>
            <w:proofErr w:type="spellStart"/>
            <w:r w:rsidRPr="00B4242B">
              <w:rPr>
                <w:rFonts w:ascii="Verdana" w:eastAsia="Times New Roman" w:hAnsi="Verdana" w:cs="Times New Roman"/>
                <w:sz w:val="18"/>
                <w:szCs w:val="18"/>
                <w:lang w:eastAsia="tr-TR"/>
              </w:rPr>
              <w:t>Soren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Hansen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Jesper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Jensen'in</w:t>
            </w:r>
            <w:proofErr w:type="spellEnd"/>
            <w:r w:rsidRPr="00B4242B">
              <w:rPr>
                <w:rFonts w:ascii="Verdana" w:eastAsia="Times New Roman" w:hAnsi="Verdana" w:cs="Times New Roman"/>
                <w:sz w:val="18"/>
                <w:szCs w:val="18"/>
                <w:lang w:eastAsia="tr-TR"/>
              </w:rPr>
              <w:t xml:space="preserve"> yazdığı Ders Kitabı'nın İngiltere'de yayın hakkını alınmıştır. İlk kez 1969'da Danimarka'da yayınlanan bu kitap, çevrildikten ve belirli uyarlamalar yapıldıktan sonra </w:t>
            </w:r>
            <w:proofErr w:type="spellStart"/>
            <w:r w:rsidRPr="00B4242B">
              <w:rPr>
                <w:rFonts w:ascii="Verdana" w:eastAsia="Times New Roman" w:hAnsi="Verdana" w:cs="Times New Roman"/>
                <w:sz w:val="18"/>
                <w:szCs w:val="18"/>
                <w:lang w:eastAsia="tr-TR"/>
              </w:rPr>
              <w:t>ard</w:t>
            </w:r>
            <w:proofErr w:type="spellEnd"/>
            <w:r w:rsidRPr="00B4242B">
              <w:rPr>
                <w:rFonts w:ascii="Verdana" w:eastAsia="Times New Roman" w:hAnsi="Verdana" w:cs="Times New Roman"/>
                <w:sz w:val="18"/>
                <w:szCs w:val="18"/>
                <w:lang w:eastAsia="tr-TR"/>
              </w:rPr>
              <w:t xml:space="preserve"> arda Belçika'da, Finlandiya'da, Fransa'da, Federal Alman Cumhuriyeti'nde, Yunanistan'da, İzlanda’da, İtalya’da, Hollanda'da, Norveç'te, İsveç’te, İsviçre'de ve Avrupa dışındaki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ülkede yayınlanmıştır. Kitap, ayrıca Avusturya ve Lüksemburg’da serbestçe dağıtılmıştır.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12. </w:t>
            </w:r>
            <w:r w:rsidRPr="00B4242B">
              <w:rPr>
                <w:rFonts w:ascii="Verdana" w:eastAsia="Times New Roman" w:hAnsi="Verdana" w:cs="Times New Roman"/>
                <w:sz w:val="18"/>
                <w:szCs w:val="18"/>
                <w:lang w:eastAsia="tr-TR"/>
              </w:rPr>
              <w:t xml:space="preserve">Başvurucu, kitabın </w:t>
            </w:r>
            <w:proofErr w:type="spellStart"/>
            <w:r w:rsidRPr="00B4242B">
              <w:rPr>
                <w:rFonts w:ascii="Verdana" w:eastAsia="Times New Roman" w:hAnsi="Verdana" w:cs="Times New Roman"/>
                <w:sz w:val="18"/>
                <w:szCs w:val="18"/>
                <w:lang w:eastAsia="tr-TR"/>
              </w:rPr>
              <w:t>İngilizce’ye</w:t>
            </w:r>
            <w:proofErr w:type="spellEnd"/>
            <w:r w:rsidRPr="00B4242B">
              <w:rPr>
                <w:rFonts w:ascii="Verdana" w:eastAsia="Times New Roman" w:hAnsi="Verdana" w:cs="Times New Roman"/>
                <w:sz w:val="18"/>
                <w:szCs w:val="18"/>
                <w:lang w:eastAsia="tr-TR"/>
              </w:rPr>
              <w:t xml:space="preserve"> çevirisi bitirildikten sonra bir grup öğrenci ve öğretmenin yardımıyla kitabı Birleşik Krallık için baskıya hazırlamıştır. Başvurucu, kitabın gerçek değeri hakkında değişik kişilere önceden danışmış ve 1 Nisan 1971'de Birleşik </w:t>
            </w:r>
            <w:proofErr w:type="spellStart"/>
            <w:r w:rsidRPr="00B4242B">
              <w:rPr>
                <w:rFonts w:ascii="Verdana" w:eastAsia="Times New Roman" w:hAnsi="Verdana" w:cs="Times New Roman"/>
                <w:sz w:val="18"/>
                <w:szCs w:val="18"/>
                <w:lang w:eastAsia="tr-TR"/>
              </w:rPr>
              <w:t>Krallık'ta</w:t>
            </w:r>
            <w:proofErr w:type="spellEnd"/>
            <w:r w:rsidRPr="00B4242B">
              <w:rPr>
                <w:rFonts w:ascii="Verdana" w:eastAsia="Times New Roman" w:hAnsi="Verdana" w:cs="Times New Roman"/>
                <w:sz w:val="18"/>
                <w:szCs w:val="18"/>
                <w:lang w:eastAsia="tr-TR"/>
              </w:rPr>
              <w:t xml:space="preserve"> piyasaya çıkarmayı tasarlamıştır. Baskı biter bitmez, kitabın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nüshasını basın bülteniyle birlikte bazı yayınevlerine, genel ve yerel gazetelere, eğitim ve tıp dergilerine göndermiştir. Ayrıca </w:t>
            </w:r>
            <w:proofErr w:type="spellStart"/>
            <w:r w:rsidRPr="00B4242B">
              <w:rPr>
                <w:rFonts w:ascii="Verdana" w:eastAsia="Times New Roman" w:hAnsi="Verdana" w:cs="Times New Roman"/>
                <w:sz w:val="18"/>
                <w:szCs w:val="18"/>
                <w:lang w:eastAsia="tr-TR"/>
              </w:rPr>
              <w:t>Bookseller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The</w:t>
            </w:r>
            <w:proofErr w:type="spellEnd"/>
            <w:r w:rsidRPr="00B4242B">
              <w:rPr>
                <w:rFonts w:ascii="Verdana" w:eastAsia="Times New Roman" w:hAnsi="Verdana" w:cs="Times New Roman"/>
                <w:sz w:val="18"/>
                <w:szCs w:val="18"/>
                <w:lang w:eastAsia="tr-TR"/>
              </w:rPr>
              <w:t xml:space="preserve"> Times </w:t>
            </w:r>
            <w:proofErr w:type="spellStart"/>
            <w:r w:rsidRPr="00B4242B">
              <w:rPr>
                <w:rFonts w:ascii="Verdana" w:eastAsia="Times New Roman" w:hAnsi="Verdana" w:cs="Times New Roman"/>
                <w:sz w:val="18"/>
                <w:szCs w:val="18"/>
                <w:lang w:eastAsia="tr-TR"/>
              </w:rPr>
              <w:t>Educational</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and</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Literacy</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Supplements</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Teacher</w:t>
            </w:r>
            <w:proofErr w:type="spellEnd"/>
            <w:r w:rsidRPr="00B4242B">
              <w:rPr>
                <w:rFonts w:ascii="Verdana" w:eastAsia="Times New Roman" w:hAnsi="Verdana" w:cs="Times New Roman"/>
                <w:sz w:val="18"/>
                <w:szCs w:val="18"/>
                <w:lang w:eastAsia="tr-TR"/>
              </w:rPr>
              <w:t xml:space="preserve"> World gibi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gazete ve dergiye ilan vermiştir.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13. </w:t>
            </w:r>
            <w:r w:rsidRPr="00B4242B">
              <w:rPr>
                <w:rFonts w:ascii="Verdana" w:eastAsia="Times New Roman" w:hAnsi="Verdana" w:cs="Times New Roman"/>
                <w:sz w:val="18"/>
                <w:szCs w:val="18"/>
                <w:lang w:eastAsia="tr-TR"/>
              </w:rPr>
              <w:t xml:space="preserve">22 Mart 1971'de Daily </w:t>
            </w:r>
            <w:proofErr w:type="spellStart"/>
            <w:r w:rsidRPr="00B4242B">
              <w:rPr>
                <w:rFonts w:ascii="Verdana" w:eastAsia="Times New Roman" w:hAnsi="Verdana" w:cs="Times New Roman"/>
                <w:sz w:val="18"/>
                <w:szCs w:val="18"/>
                <w:lang w:eastAsia="tr-TR"/>
              </w:rPr>
              <w:t>Mirror</w:t>
            </w:r>
            <w:proofErr w:type="spellEnd"/>
            <w:r w:rsidRPr="00B4242B">
              <w:rPr>
                <w:rFonts w:ascii="Verdana" w:eastAsia="Times New Roman" w:hAnsi="Verdana" w:cs="Times New Roman"/>
                <w:sz w:val="18"/>
                <w:szCs w:val="18"/>
                <w:lang w:eastAsia="tr-TR"/>
              </w:rPr>
              <w:t xml:space="preserve">, 28 Martta </w:t>
            </w:r>
            <w:proofErr w:type="spellStart"/>
            <w:r w:rsidRPr="00B4242B">
              <w:rPr>
                <w:rFonts w:ascii="Verdana" w:eastAsia="Times New Roman" w:hAnsi="Verdana" w:cs="Times New Roman"/>
                <w:sz w:val="18"/>
                <w:szCs w:val="18"/>
                <w:lang w:eastAsia="tr-TR"/>
              </w:rPr>
              <w:t>The</w:t>
            </w:r>
            <w:proofErr w:type="spellEnd"/>
            <w:r w:rsidRPr="00B4242B">
              <w:rPr>
                <w:rFonts w:ascii="Verdana" w:eastAsia="Times New Roman" w:hAnsi="Verdana" w:cs="Times New Roman"/>
                <w:sz w:val="18"/>
                <w:szCs w:val="18"/>
                <w:lang w:eastAsia="tr-TR"/>
              </w:rPr>
              <w:t xml:space="preserve"> Sunday Times ve Sunday </w:t>
            </w:r>
            <w:proofErr w:type="spellStart"/>
            <w:r w:rsidRPr="00B4242B">
              <w:rPr>
                <w:rFonts w:ascii="Verdana" w:eastAsia="Times New Roman" w:hAnsi="Verdana" w:cs="Times New Roman"/>
                <w:sz w:val="18"/>
                <w:szCs w:val="18"/>
                <w:lang w:eastAsia="tr-TR"/>
              </w:rPr>
              <w:t>Telegraph</w:t>
            </w:r>
            <w:proofErr w:type="spellEnd"/>
            <w:r w:rsidRPr="00B4242B">
              <w:rPr>
                <w:rFonts w:ascii="Verdana" w:eastAsia="Times New Roman" w:hAnsi="Verdana" w:cs="Times New Roman"/>
                <w:sz w:val="18"/>
                <w:szCs w:val="18"/>
                <w:lang w:eastAsia="tr-TR"/>
              </w:rPr>
              <w:t xml:space="preserve"> gazetelerinde kitabın içeriğini anlatan yazılar yayınlanmıştır. Daily </w:t>
            </w:r>
            <w:proofErr w:type="spellStart"/>
            <w:r w:rsidRPr="00B4242B">
              <w:rPr>
                <w:rFonts w:ascii="Verdana" w:eastAsia="Times New Roman" w:hAnsi="Verdana" w:cs="Times New Roman"/>
                <w:sz w:val="18"/>
                <w:szCs w:val="18"/>
                <w:lang w:eastAsia="tr-TR"/>
              </w:rPr>
              <w:t>Telegraph</w:t>
            </w:r>
            <w:proofErr w:type="spellEnd"/>
            <w:r w:rsidRPr="00B4242B">
              <w:rPr>
                <w:rFonts w:ascii="Verdana" w:eastAsia="Times New Roman" w:hAnsi="Verdana" w:cs="Times New Roman"/>
                <w:sz w:val="18"/>
                <w:szCs w:val="18"/>
                <w:lang w:eastAsia="tr-TR"/>
              </w:rPr>
              <w:t xml:space="preserve"> gazetesi 29 ve 30 Martta bu konuda daha ayrıntılı bilgi vermiştir. Bu gazeteler ayrıca, kitabın yayınlanmasına karşı dava açılmasını talep eden </w:t>
            </w:r>
            <w:proofErr w:type="gramStart"/>
            <w:r w:rsidRPr="00B4242B">
              <w:rPr>
                <w:rFonts w:ascii="Verdana" w:eastAsia="Times New Roman" w:hAnsi="Verdana" w:cs="Times New Roman"/>
                <w:sz w:val="18"/>
                <w:szCs w:val="18"/>
                <w:lang w:eastAsia="tr-TR"/>
              </w:rPr>
              <w:t>şikayetlerin</w:t>
            </w:r>
            <w:proofErr w:type="gramEnd"/>
            <w:r w:rsidRPr="00B4242B">
              <w:rPr>
                <w:rFonts w:ascii="Verdana" w:eastAsia="Times New Roman" w:hAnsi="Verdana" w:cs="Times New Roman"/>
                <w:sz w:val="18"/>
                <w:szCs w:val="18"/>
                <w:lang w:eastAsia="tr-TR"/>
              </w:rPr>
              <w:t xml:space="preserve"> savcılıklara yapılabileceğini de belirtmişlerdir. Aşağıda anlatılan el koyma (</w:t>
            </w:r>
            <w:proofErr w:type="spellStart"/>
            <w:r w:rsidRPr="00B4242B">
              <w:rPr>
                <w:rFonts w:ascii="Verdana" w:eastAsia="Times New Roman" w:hAnsi="Verdana" w:cs="Times New Roman"/>
                <w:sz w:val="18"/>
                <w:szCs w:val="18"/>
                <w:lang w:eastAsia="tr-TR"/>
              </w:rPr>
              <w:t>seizure</w:t>
            </w:r>
            <w:proofErr w:type="spellEnd"/>
            <w:r w:rsidRPr="00B4242B">
              <w:rPr>
                <w:rFonts w:ascii="Verdana" w:eastAsia="Times New Roman" w:hAnsi="Verdana" w:cs="Times New Roman"/>
                <w:sz w:val="18"/>
                <w:szCs w:val="18"/>
                <w:lang w:eastAsia="tr-TR"/>
              </w:rPr>
              <w:t>) olayı sırasında ve bunu izleyen günlerde basında Ders Kitabı'nın lehinde ve aleyhinde bazı yorumlar yer almıştır.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14. </w:t>
            </w:r>
            <w:r w:rsidRPr="00B4242B">
              <w:rPr>
                <w:rFonts w:ascii="Verdana" w:eastAsia="Times New Roman" w:hAnsi="Verdana" w:cs="Times New Roman"/>
                <w:sz w:val="18"/>
                <w:szCs w:val="18"/>
                <w:lang w:eastAsia="tr-TR"/>
              </w:rPr>
              <w:t xml:space="preserve">Kitap hakkında bir kaç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alan savcılık, 30 Mart 1971'de Londra Polisinden inceleme yapmasını istemiştir. İncelemelerin sonucunda savcı, 31 Mart 1971'de, 1959/1964 tarihli Müstehcen Yayınlar Yasasının (</w:t>
            </w:r>
            <w:proofErr w:type="spellStart"/>
            <w:r w:rsidRPr="00B4242B">
              <w:rPr>
                <w:rFonts w:ascii="Verdana" w:eastAsia="Times New Roman" w:hAnsi="Verdana" w:cs="Times New Roman"/>
                <w:sz w:val="18"/>
                <w:szCs w:val="18"/>
                <w:lang w:eastAsia="tr-TR"/>
              </w:rPr>
              <w:t>Obscene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Publication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Acts</w:t>
            </w:r>
            <w:proofErr w:type="spellEnd"/>
            <w:r w:rsidRPr="00B4242B">
              <w:rPr>
                <w:rFonts w:ascii="Verdana" w:eastAsia="Times New Roman" w:hAnsi="Verdana" w:cs="Times New Roman"/>
                <w:sz w:val="18"/>
                <w:szCs w:val="18"/>
                <w:lang w:eastAsia="tr-TR"/>
              </w:rPr>
              <w:t xml:space="preserve">) 3. maddesine göre,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1'in Londra'daki tesislerinde arama yapmak üzere mahkemeden bir arama izni talep etmiştir. Ders Kitabını inceleyen mahkeme, başvurucunun yokluğunda ama İngiliz hukukundaki </w:t>
            </w:r>
            <w:r w:rsidRPr="00B4242B">
              <w:rPr>
                <w:rFonts w:ascii="Verdana" w:eastAsia="Times New Roman" w:hAnsi="Verdana" w:cs="Times New Roman"/>
                <w:sz w:val="18"/>
                <w:szCs w:val="18"/>
                <w:lang w:eastAsia="tr-TR"/>
              </w:rPr>
              <w:lastRenderedPageBreak/>
              <w:t>usule uygun olarak arama izni vermiştir. Aynı gün arama yapılmış ve kitabın 1,069 nüshasına, yayın ve satışıyla ilgili broşürlere, posterlere, kartlara ve yazışmalara geçici olarak el konulmuştur.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15. </w:t>
            </w:r>
            <w:r w:rsidRPr="00B4242B">
              <w:rPr>
                <w:rFonts w:ascii="Verdana" w:eastAsia="Times New Roman" w:hAnsi="Verdana" w:cs="Times New Roman"/>
                <w:sz w:val="18"/>
                <w:szCs w:val="18"/>
                <w:lang w:eastAsia="tr-TR"/>
              </w:rPr>
              <w:t xml:space="preserve">Başvurucu, avukatlarının tavsiyesine uygun olarak, sonraki günlerde kitabın nüshalarını dağıtmaya devam etmiştir. Arama yapıldıktan sonra kitabın diğer nüshalarının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1'in tesislerine taşındığını haber alan savcı, 1 Nisan 1971'de, yukarıda belirtilen benzer koşullarla, aynı tesislerde ve kitabın basıldığı tesislerde arama izni için yeniden mahkemeye başvurmuş ve bu izni almıştır. Ertesi gün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1'in tesislerinde bulunan 139 nüshaya, basımevinde bulunan 20 bozuk nüshaya ve ayrıca kitapla ilgili yazışmalara ve kitabın matrisine el konulmuştur. Toplam 20 bin nüshanın ele geçirilemeyen 18.800 adedi, daha sonra okullara ve siparişte bulunan yerlere satılmıştır.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16. </w:t>
            </w:r>
            <w:r w:rsidRPr="00B4242B">
              <w:rPr>
                <w:rFonts w:ascii="Verdana" w:eastAsia="Times New Roman" w:hAnsi="Verdana" w:cs="Times New Roman"/>
                <w:sz w:val="18"/>
                <w:szCs w:val="18"/>
                <w:lang w:eastAsia="tr-TR"/>
              </w:rPr>
              <w:t>8 Nisan 1971'de bir Sulh Mahkemesi (</w:t>
            </w:r>
            <w:proofErr w:type="spellStart"/>
            <w:r w:rsidRPr="00B4242B">
              <w:rPr>
                <w:rFonts w:ascii="Verdana" w:eastAsia="Times New Roman" w:hAnsi="Verdana" w:cs="Times New Roman"/>
                <w:sz w:val="18"/>
                <w:szCs w:val="18"/>
                <w:lang w:eastAsia="tr-TR"/>
              </w:rPr>
              <w:t>Magistrates</w:t>
            </w:r>
            <w:proofErr w:type="spellEnd"/>
            <w:r w:rsidRPr="00B4242B">
              <w:rPr>
                <w:rFonts w:ascii="Verdana" w:eastAsia="Times New Roman" w:hAnsi="Verdana" w:cs="Times New Roman"/>
                <w:sz w:val="18"/>
                <w:szCs w:val="18"/>
                <w:lang w:eastAsia="tr-TR"/>
              </w:rPr>
              <w:t xml:space="preserve">' Court), 1964 tarihli Müstehcen Yayınlar Yasasının 1(1). </w:t>
            </w:r>
            <w:proofErr w:type="gramStart"/>
            <w:r w:rsidRPr="00B4242B">
              <w:rPr>
                <w:rFonts w:ascii="Verdana" w:eastAsia="Times New Roman" w:hAnsi="Verdana" w:cs="Times New Roman"/>
                <w:sz w:val="18"/>
                <w:szCs w:val="18"/>
                <w:lang w:eastAsia="tr-TR"/>
              </w:rPr>
              <w:t>fıkrasıyla</w:t>
            </w:r>
            <w:proofErr w:type="gramEnd"/>
            <w:r w:rsidRPr="00B4242B">
              <w:rPr>
                <w:rFonts w:ascii="Verdana" w:eastAsia="Times New Roman" w:hAnsi="Verdana" w:cs="Times New Roman"/>
                <w:sz w:val="18"/>
                <w:szCs w:val="18"/>
                <w:lang w:eastAsia="tr-TR"/>
              </w:rPr>
              <w:t xml:space="preserve"> değiştirilen 1959 tarihli Müstehcen Yayınlar Yasasının 2(1).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göre, aşağıdaki fiillerden ötürü başvurucuya iki celpname (</w:t>
            </w:r>
            <w:proofErr w:type="spellStart"/>
            <w:r w:rsidRPr="00B4242B">
              <w:rPr>
                <w:rFonts w:ascii="Verdana" w:eastAsia="Times New Roman" w:hAnsi="Verdana" w:cs="Times New Roman"/>
                <w:sz w:val="18"/>
                <w:szCs w:val="18"/>
                <w:lang w:eastAsia="tr-TR"/>
              </w:rPr>
              <w:t>summon</w:t>
            </w:r>
            <w:proofErr w:type="spellEnd"/>
            <w:r w:rsidRPr="00B4242B">
              <w:rPr>
                <w:rFonts w:ascii="Verdana" w:eastAsia="Times New Roman" w:hAnsi="Verdana" w:cs="Times New Roman"/>
                <w:sz w:val="18"/>
                <w:szCs w:val="18"/>
                <w:lang w:eastAsia="tr-TR"/>
              </w:rPr>
              <w:t>) göndermiştir: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(a) 31 Mart 1971'de, kazanç sağlamak için yayınlanmış "Küçük Kırmızı Ders Kitabı" adlı 1.069 adet müstehcen kitabı tasarrufunda bulundurmak;</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 1 Nisan 1971'de, kazanç sağlamak için yayınlanmış 'Küçük Kırmızı Ders Kitabı" adlı 139 adet müstehcen kitabı tasarrufunda bulundurmak.</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Her iki celpname aynı gün başvurucuya tebliğ edilmiştir. Bunun üzerine başvurucu kitabın dağıtımını durdurmuş ve kitapevlerini durumdan haberdar etmiş, ancak bu sırada 17 bin dolayında kitap da piyasaya çıkmıştır.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17. </w:t>
            </w:r>
            <w:r w:rsidRPr="00B4242B">
              <w:rPr>
                <w:rFonts w:ascii="Verdana" w:eastAsia="Times New Roman" w:hAnsi="Verdana" w:cs="Times New Roman"/>
                <w:sz w:val="18"/>
                <w:szCs w:val="18"/>
                <w:lang w:eastAsia="tr-TR"/>
              </w:rPr>
              <w:t xml:space="preserve">Celpnamelerde başvurucunun 28 Mayıs 1971 günü </w:t>
            </w:r>
            <w:proofErr w:type="spellStart"/>
            <w:r w:rsidRPr="00B4242B">
              <w:rPr>
                <w:rFonts w:ascii="Verdana" w:eastAsia="Times New Roman" w:hAnsi="Verdana" w:cs="Times New Roman"/>
                <w:sz w:val="18"/>
                <w:szCs w:val="18"/>
                <w:lang w:eastAsia="tr-TR"/>
              </w:rPr>
              <w:t>Clerkenwell</w:t>
            </w:r>
            <w:proofErr w:type="spellEnd"/>
            <w:r w:rsidRPr="00B4242B">
              <w:rPr>
                <w:rFonts w:ascii="Verdana" w:eastAsia="Times New Roman" w:hAnsi="Verdana" w:cs="Times New Roman"/>
                <w:sz w:val="18"/>
                <w:szCs w:val="18"/>
                <w:lang w:eastAsia="tr-TR"/>
              </w:rPr>
              <w:t xml:space="preserve"> Sulh Mahkemesi’nde bulunması istenmiştir. Ancak Savcının başvurusu üzerine dava 29 Hazirana ertelenmiştir. Bu tarihte başvurucu, davanın nakledildiği </w:t>
            </w:r>
            <w:proofErr w:type="spellStart"/>
            <w:r w:rsidRPr="00B4242B">
              <w:rPr>
                <w:rFonts w:ascii="Verdana" w:eastAsia="Times New Roman" w:hAnsi="Verdana" w:cs="Times New Roman"/>
                <w:sz w:val="18"/>
                <w:szCs w:val="18"/>
                <w:lang w:eastAsia="tr-TR"/>
              </w:rPr>
              <w:t>Lambeth</w:t>
            </w:r>
            <w:proofErr w:type="spellEnd"/>
            <w:r w:rsidRPr="00B4242B">
              <w:rPr>
                <w:rFonts w:ascii="Verdana" w:eastAsia="Times New Roman" w:hAnsi="Verdana" w:cs="Times New Roman"/>
                <w:sz w:val="18"/>
                <w:szCs w:val="18"/>
                <w:lang w:eastAsia="tr-TR"/>
              </w:rPr>
              <w:t xml:space="preserve"> Sulh Mahkemesi’nde bulunarak, davanın bir iddianameyle açılıp bir yargıç (</w:t>
            </w:r>
            <w:proofErr w:type="spellStart"/>
            <w:r w:rsidRPr="00B4242B">
              <w:rPr>
                <w:rFonts w:ascii="Verdana" w:eastAsia="Times New Roman" w:hAnsi="Verdana" w:cs="Times New Roman"/>
                <w:sz w:val="18"/>
                <w:szCs w:val="18"/>
                <w:lang w:eastAsia="tr-TR"/>
              </w:rPr>
              <w:t>judge</w:t>
            </w:r>
            <w:proofErr w:type="spellEnd"/>
            <w:r w:rsidRPr="00B4242B">
              <w:rPr>
                <w:rFonts w:ascii="Verdana" w:eastAsia="Times New Roman" w:hAnsi="Verdana" w:cs="Times New Roman"/>
                <w:sz w:val="18"/>
                <w:szCs w:val="18"/>
                <w:lang w:eastAsia="tr-TR"/>
              </w:rPr>
              <w:t xml:space="preserve">) veya jüri tarafından karara bağlanması yerine, basit yargılama usulüne göre bir sulh </w:t>
            </w:r>
            <w:proofErr w:type="gramStart"/>
            <w:r w:rsidRPr="00B4242B">
              <w:rPr>
                <w:rFonts w:ascii="Verdana" w:eastAsia="Times New Roman" w:hAnsi="Verdana" w:cs="Times New Roman"/>
                <w:sz w:val="18"/>
                <w:szCs w:val="18"/>
                <w:lang w:eastAsia="tr-TR"/>
              </w:rPr>
              <w:t>hakimi</w:t>
            </w:r>
            <w:proofErr w:type="gram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magistrate</w:t>
            </w:r>
            <w:proofErr w:type="spellEnd"/>
            <w:r w:rsidRPr="00B4242B">
              <w:rPr>
                <w:rFonts w:ascii="Verdana" w:eastAsia="Times New Roman" w:hAnsi="Verdana" w:cs="Times New Roman"/>
                <w:sz w:val="18"/>
                <w:szCs w:val="18"/>
                <w:lang w:eastAsia="tr-TR"/>
              </w:rPr>
              <w:t xml:space="preserve">) tarafından görülmesine rıza göstermiştir. Başvurucu, mali güçsüzlüğünün ve Hükümetin reddetmesine rağmen </w:t>
            </w:r>
            <w:proofErr w:type="spellStart"/>
            <w:r w:rsidRPr="00B4242B">
              <w:rPr>
                <w:rFonts w:ascii="Verdana" w:eastAsia="Times New Roman" w:hAnsi="Verdana" w:cs="Times New Roman"/>
                <w:sz w:val="18"/>
                <w:szCs w:val="18"/>
                <w:lang w:eastAsia="tr-TR"/>
              </w:rPr>
              <w:t>iddianameli</w:t>
            </w:r>
            <w:proofErr w:type="spellEnd"/>
            <w:r w:rsidRPr="00B4242B">
              <w:rPr>
                <w:rFonts w:ascii="Verdana" w:eastAsia="Times New Roman" w:hAnsi="Verdana" w:cs="Times New Roman"/>
                <w:sz w:val="18"/>
                <w:szCs w:val="18"/>
                <w:lang w:eastAsia="tr-TR"/>
              </w:rPr>
              <w:t xml:space="preserve"> usulde </w:t>
            </w:r>
            <w:proofErr w:type="spellStart"/>
            <w:r w:rsidRPr="00B4242B">
              <w:rPr>
                <w:rFonts w:ascii="Verdana" w:eastAsia="Times New Roman" w:hAnsi="Verdana" w:cs="Times New Roman"/>
                <w:sz w:val="18"/>
                <w:szCs w:val="18"/>
                <w:lang w:eastAsia="tr-TR"/>
              </w:rPr>
              <w:t>varolduğunu</w:t>
            </w:r>
            <w:proofErr w:type="spellEnd"/>
            <w:r w:rsidRPr="00B4242B">
              <w:rPr>
                <w:rFonts w:ascii="Verdana" w:eastAsia="Times New Roman" w:hAnsi="Verdana" w:cs="Times New Roman"/>
                <w:sz w:val="18"/>
                <w:szCs w:val="18"/>
                <w:lang w:eastAsia="tr-TR"/>
              </w:rPr>
              <w:t xml:space="preserve"> iddia ettiği gecikmelerden kaçınma ihtiyacının, böyle bir tercihi dayattığını ileri sürmüştür. Kendisine adli yardım sağlanan başvurucu, bir avukat tarafından temsil edilmiştir. 1 Temmuz 1971'de, iddia ve savunma tanıkları dinlendikten sonra, başvurucu iki fiilden de suçlu bulunmuş ve her bir fiilden 25 Pound para cezasıyla </w:t>
            </w:r>
            <w:proofErr w:type="gramStart"/>
            <w:r w:rsidRPr="00B4242B">
              <w:rPr>
                <w:rFonts w:ascii="Verdana" w:eastAsia="Times New Roman" w:hAnsi="Verdana" w:cs="Times New Roman"/>
                <w:sz w:val="18"/>
                <w:szCs w:val="18"/>
                <w:lang w:eastAsia="tr-TR"/>
              </w:rPr>
              <w:t>mahkumiyetine</w:t>
            </w:r>
            <w:proofErr w:type="gramEnd"/>
            <w:r w:rsidRPr="00B4242B">
              <w:rPr>
                <w:rFonts w:ascii="Verdana" w:eastAsia="Times New Roman" w:hAnsi="Verdana" w:cs="Times New Roman"/>
                <w:sz w:val="18"/>
                <w:szCs w:val="18"/>
                <w:lang w:eastAsia="tr-TR"/>
              </w:rPr>
              <w:t xml:space="preserve"> ve dava masrafları için 110 Pound ödemesine karar verilmiştir. Mahkeme aynı zamanda kitapların polis tarafından imhası için kitaplar üzerinde hak kaybına (</w:t>
            </w:r>
            <w:proofErr w:type="spellStart"/>
            <w:r w:rsidRPr="00B4242B">
              <w:rPr>
                <w:rFonts w:ascii="Verdana" w:eastAsia="Times New Roman" w:hAnsi="Verdana" w:cs="Times New Roman"/>
                <w:sz w:val="18"/>
                <w:szCs w:val="18"/>
                <w:lang w:eastAsia="tr-TR"/>
              </w:rPr>
              <w:t>forfeiture</w:t>
            </w:r>
            <w:proofErr w:type="spellEnd"/>
            <w:r w:rsidRPr="00B4242B">
              <w:rPr>
                <w:rFonts w:ascii="Verdana" w:eastAsia="Times New Roman" w:hAnsi="Verdana" w:cs="Times New Roman"/>
                <w:sz w:val="18"/>
                <w:szCs w:val="18"/>
                <w:lang w:eastAsia="tr-TR"/>
              </w:rPr>
              <w:t>) da karar vermiştir.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18. </w:t>
            </w:r>
            <w:r w:rsidRPr="00B4242B">
              <w:rPr>
                <w:rFonts w:ascii="Verdana" w:eastAsia="Times New Roman" w:hAnsi="Verdana" w:cs="Times New Roman"/>
                <w:sz w:val="18"/>
                <w:szCs w:val="18"/>
                <w:lang w:eastAsia="tr-TR"/>
              </w:rPr>
              <w:t xml:space="preserve">Londra Polisi 10 Temmuz 1971'de başvurucunun avukatından her iki </w:t>
            </w:r>
            <w:proofErr w:type="gramStart"/>
            <w:r w:rsidRPr="00B4242B">
              <w:rPr>
                <w:rFonts w:ascii="Verdana" w:eastAsia="Times New Roman" w:hAnsi="Verdana" w:cs="Times New Roman"/>
                <w:sz w:val="18"/>
                <w:szCs w:val="18"/>
                <w:lang w:eastAsia="tr-TR"/>
              </w:rPr>
              <w:t>mahkumiyet</w:t>
            </w:r>
            <w:proofErr w:type="gramEnd"/>
            <w:r w:rsidRPr="00B4242B">
              <w:rPr>
                <w:rFonts w:ascii="Verdana" w:eastAsia="Times New Roman" w:hAnsi="Verdana" w:cs="Times New Roman"/>
                <w:sz w:val="18"/>
                <w:szCs w:val="18"/>
                <w:lang w:eastAsia="tr-TR"/>
              </w:rPr>
              <w:t xml:space="preserve"> kararının temyiz edildiğine dair tebligat almıştır. Temyize gerekçe olarak, "</w:t>
            </w:r>
            <w:proofErr w:type="gramStart"/>
            <w:r w:rsidRPr="00B4242B">
              <w:rPr>
                <w:rFonts w:ascii="Verdana" w:eastAsia="Times New Roman" w:hAnsi="Verdana" w:cs="Times New Roman"/>
                <w:sz w:val="18"/>
                <w:szCs w:val="18"/>
                <w:lang w:eastAsia="tr-TR"/>
              </w:rPr>
              <w:t>mahkumiyet</w:t>
            </w:r>
            <w:proofErr w:type="gramEnd"/>
            <w:r w:rsidRPr="00B4242B">
              <w:rPr>
                <w:rFonts w:ascii="Verdana" w:eastAsia="Times New Roman" w:hAnsi="Verdana" w:cs="Times New Roman"/>
                <w:sz w:val="18"/>
                <w:szCs w:val="18"/>
                <w:lang w:eastAsia="tr-TR"/>
              </w:rPr>
              <w:t xml:space="preserve"> için delillerin yetersizliğini ve kararın </w:t>
            </w:r>
            <w:proofErr w:type="spellStart"/>
            <w:r w:rsidRPr="00B4242B">
              <w:rPr>
                <w:rFonts w:ascii="Verdana" w:eastAsia="Times New Roman" w:hAnsi="Verdana" w:cs="Times New Roman"/>
                <w:sz w:val="18"/>
                <w:szCs w:val="18"/>
                <w:lang w:eastAsia="tr-TR"/>
              </w:rPr>
              <w:t>yolsuzluğu"nu</w:t>
            </w:r>
            <w:proofErr w:type="spellEnd"/>
            <w:r w:rsidRPr="00B4242B">
              <w:rPr>
                <w:rFonts w:ascii="Verdana" w:eastAsia="Times New Roman" w:hAnsi="Verdana" w:cs="Times New Roman"/>
                <w:sz w:val="18"/>
                <w:szCs w:val="18"/>
                <w:lang w:eastAsia="tr-TR"/>
              </w:rPr>
              <w:t xml:space="preserve"> ileri sürülmüştür. Temyiz başvurusu, 20, 21, 22, 25 ve 26 Ekim 1971 günleri "Inner </w:t>
            </w:r>
            <w:proofErr w:type="spellStart"/>
            <w:r w:rsidRPr="00B4242B">
              <w:rPr>
                <w:rFonts w:ascii="Verdana" w:eastAsia="Times New Roman" w:hAnsi="Verdana" w:cs="Times New Roman"/>
                <w:sz w:val="18"/>
                <w:szCs w:val="18"/>
                <w:lang w:eastAsia="tr-TR"/>
              </w:rPr>
              <w:t>London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w:t>
            </w:r>
            <w:proofErr w:type="spellEnd"/>
            <w:r w:rsidRPr="00B4242B">
              <w:rPr>
                <w:rFonts w:ascii="Verdana" w:eastAsia="Times New Roman" w:hAnsi="Verdana" w:cs="Times New Roman"/>
                <w:sz w:val="18"/>
                <w:szCs w:val="18"/>
                <w:lang w:eastAsia="tr-TR"/>
              </w:rPr>
              <w:t>" Mahkemesi ( Üç ayda bir toplanan Sulh Mahkemesi) tarafından ele alınmıştır. Bu duruşmalarda tanıklardan bir kısmı iddia makamının bir kısmı da başvurucunun lehine ifade vermişlerdir. Mahkeme 29 Ekim 1971'de verdiği kararda, ilk kararın onaylanmasına ve başvurucunun dava masrafı olarak 854 Pound daha ödemesine hükmetmiştir. Yukarıda anlatıldığı gibi el konulan materyal daha sonra imha edilmiştir.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Başvurucu, 29 Ekim 1971 tarihli kararda İngiliz hukukunun doğru uygulanmadığını ileri sürmediği için, Üst Mahkemeye başvuruda bulunma hakkını kullanmamıştır.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19. </w:t>
            </w:r>
            <w:r w:rsidRPr="00B4242B">
              <w:rPr>
                <w:rFonts w:ascii="Verdana" w:eastAsia="Times New Roman" w:hAnsi="Verdana" w:cs="Times New Roman"/>
                <w:sz w:val="18"/>
                <w:szCs w:val="18"/>
                <w:lang w:eastAsia="tr-TR"/>
              </w:rPr>
              <w:t>Ders Kitabı hakkında Kuzey İrlanda'da, Channel Adaları'nda ve Man Adası'nda dava açılmamışken, İskoçya’da ise durum tersinedir.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Glasgow’daki bir kitapçı, kitap yüzünden yerel bir yasaya göre suçlanmıştır. Ancak, kitabın yasadaki anlamda ahlaka aykırı ve müstehcen olmadığını kabul eden </w:t>
            </w:r>
            <w:proofErr w:type="gramStart"/>
            <w:r w:rsidRPr="00B4242B">
              <w:rPr>
                <w:rFonts w:ascii="Verdana" w:eastAsia="Times New Roman" w:hAnsi="Verdana" w:cs="Times New Roman"/>
                <w:sz w:val="18"/>
                <w:szCs w:val="18"/>
                <w:lang w:eastAsia="tr-TR"/>
              </w:rPr>
              <w:t>hakim</w:t>
            </w:r>
            <w:proofErr w:type="gramEnd"/>
            <w:r w:rsidRPr="00B4242B">
              <w:rPr>
                <w:rFonts w:ascii="Verdana" w:eastAsia="Times New Roman" w:hAnsi="Verdana" w:cs="Times New Roman"/>
                <w:sz w:val="18"/>
                <w:szCs w:val="18"/>
                <w:lang w:eastAsia="tr-TR"/>
              </w:rPr>
              <w:t>, 9 Şubat 1972'de beraat kararı vermiştir. Ancak bu davanın, kitabın ilk baskısı mı, yoksa gözden geçirilmiş baskısı hakkında mı olduğu dosyadan anlaşılamamaktadır.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Bundan başka, İskoçya hukukuna göre kitabın gözden geçirilmiş baskısı hakkında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 firması aleyhine </w:t>
            </w:r>
            <w:proofErr w:type="gramStart"/>
            <w:r w:rsidRPr="00B4242B">
              <w:rPr>
                <w:rFonts w:ascii="Verdana" w:eastAsia="Times New Roman" w:hAnsi="Verdana" w:cs="Times New Roman"/>
                <w:sz w:val="18"/>
                <w:szCs w:val="18"/>
                <w:lang w:eastAsia="tr-TR"/>
              </w:rPr>
              <w:t>şikayette</w:t>
            </w:r>
            <w:proofErr w:type="gramEnd"/>
            <w:r w:rsidRPr="00B4242B">
              <w:rPr>
                <w:rFonts w:ascii="Verdana" w:eastAsia="Times New Roman" w:hAnsi="Verdana" w:cs="Times New Roman"/>
                <w:sz w:val="18"/>
                <w:szCs w:val="18"/>
                <w:lang w:eastAsia="tr-TR"/>
              </w:rPr>
              <w:t xml:space="preserve"> bulunulmuştur. Bu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8 Aralık 1972'de Edinburgh Mahkemesi tarafından sanığın gerekli suç işleme kastına (</w:t>
            </w:r>
            <w:proofErr w:type="spellStart"/>
            <w:r w:rsidRPr="00B4242B">
              <w:rPr>
                <w:rFonts w:ascii="Verdana" w:eastAsia="Times New Roman" w:hAnsi="Verdana" w:cs="Times New Roman"/>
                <w:sz w:val="18"/>
                <w:szCs w:val="18"/>
                <w:lang w:eastAsia="tr-TR"/>
              </w:rPr>
              <w:t>mens</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rea</w:t>
            </w:r>
            <w:proofErr w:type="spellEnd"/>
            <w:r w:rsidRPr="00B4242B">
              <w:rPr>
                <w:rFonts w:ascii="Verdana" w:eastAsia="Times New Roman" w:hAnsi="Verdana" w:cs="Times New Roman"/>
                <w:sz w:val="18"/>
                <w:szCs w:val="18"/>
                <w:lang w:eastAsia="tr-TR"/>
              </w:rPr>
              <w:t xml:space="preserve">) sahip olmadığı gerekçesiyle reddedilmiştir. Ocak 1973'te mali savcı bu kararı temyiz etmeyeceğini açıklamıştır. Ayrıca,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xml:space="preserve"> hakkında ceza davası açma hakkını da kullanmamıştır.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lastRenderedPageBreak/>
              <w:t>2. Ders Kitabı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20. </w:t>
            </w:r>
            <w:r w:rsidRPr="00B4242B">
              <w:rPr>
                <w:rFonts w:ascii="Verdana" w:eastAsia="Times New Roman" w:hAnsi="Verdana" w:cs="Times New Roman"/>
                <w:sz w:val="18"/>
                <w:szCs w:val="18"/>
                <w:lang w:eastAsia="tr-TR"/>
              </w:rPr>
              <w:t xml:space="preserve">Tanesi 30 pens olan kitabın İngilizce ilk baskısı toplam 208 sayfadır. Kitap, "Bütün Yetişkinler </w:t>
            </w:r>
            <w:proofErr w:type="gramStart"/>
            <w:r w:rsidRPr="00B4242B">
              <w:rPr>
                <w:rFonts w:ascii="Verdana" w:eastAsia="Times New Roman" w:hAnsi="Verdana" w:cs="Times New Roman"/>
                <w:sz w:val="18"/>
                <w:szCs w:val="18"/>
                <w:lang w:eastAsia="tr-TR"/>
              </w:rPr>
              <w:t>Kağıttan</w:t>
            </w:r>
            <w:proofErr w:type="gramEnd"/>
            <w:r w:rsidRPr="00B4242B">
              <w:rPr>
                <w:rFonts w:ascii="Verdana" w:eastAsia="Times New Roman" w:hAnsi="Verdana" w:cs="Times New Roman"/>
                <w:sz w:val="18"/>
                <w:szCs w:val="18"/>
                <w:lang w:eastAsia="tr-TR"/>
              </w:rPr>
              <w:t xml:space="preserve"> Kaplandır" başlıklı bir giriş ve "İngilizce Baskıya </w:t>
            </w:r>
            <w:proofErr w:type="spellStart"/>
            <w:r w:rsidRPr="00B4242B">
              <w:rPr>
                <w:rFonts w:ascii="Verdana" w:eastAsia="Times New Roman" w:hAnsi="Verdana" w:cs="Times New Roman"/>
                <w:sz w:val="18"/>
                <w:szCs w:val="18"/>
                <w:lang w:eastAsia="tr-TR"/>
              </w:rPr>
              <w:t>Önsöz"den</w:t>
            </w:r>
            <w:proofErr w:type="spellEnd"/>
            <w:r w:rsidRPr="00B4242B">
              <w:rPr>
                <w:rFonts w:ascii="Verdana" w:eastAsia="Times New Roman" w:hAnsi="Verdana" w:cs="Times New Roman"/>
                <w:sz w:val="18"/>
                <w:szCs w:val="18"/>
                <w:lang w:eastAsia="tr-TR"/>
              </w:rPr>
              <w:t xml:space="preserve"> sonra, şu kısımları içermektedir: Eğitim, Öğrenim, Öğretmenler, Öğrenciler ve Sistem. </w:t>
            </w:r>
            <w:proofErr w:type="gramStart"/>
            <w:r w:rsidRPr="00B4242B">
              <w:rPr>
                <w:rFonts w:ascii="Verdana" w:eastAsia="Times New Roman" w:hAnsi="Verdana" w:cs="Times New Roman"/>
                <w:sz w:val="18"/>
                <w:szCs w:val="18"/>
                <w:lang w:eastAsia="tr-TR"/>
              </w:rPr>
              <w:t xml:space="preserve">Öğrenciler hakkındaki kısmın "Seks" ile ilgili 26 sayfalık bölümü, şu alt bölümleri kapsamaktadır: Mastürbasyon, Orgazm, Sevişme ve Cinsel İlişki, Gebeliği Önleyiciler, Cinsel Rüyalar, Adet Görme, Çocuk Mütecavizleri veya "Kirli Yaşlı Erkekler", Pornografi, İktidarsızlık, Eşcinsellik, Normal olan ve Normal Olmayan Şeyler, Daha Fazla Öğrenme, Zührevi Hastalıklar, Kürtaj, Yasal ve Yasal Olmayan Kürtaj, Hatırlayalım, Kürtaj Yöntemleri, Cinsel Konularda Yardım ve Tavsiye için Adresler. </w:t>
            </w:r>
            <w:proofErr w:type="gramEnd"/>
            <w:r w:rsidRPr="00B4242B">
              <w:rPr>
                <w:rFonts w:ascii="Verdana" w:eastAsia="Times New Roman" w:hAnsi="Verdana" w:cs="Times New Roman"/>
                <w:sz w:val="18"/>
                <w:szCs w:val="18"/>
                <w:lang w:eastAsia="tr-TR"/>
              </w:rPr>
              <w:t xml:space="preserve">Girişte şöyle denilmektedir: "Bu kitap bir başvuru kitabıdır. Okuyup geçmeyeceğinizi, ilgilendiğiniz veya daha fazla öğrenmek istediğiniz konularda aradıklarınızı bulmak ve okumak için kullanacağınızı umarız. İlerici bir okulda olsanız bile, kitapta bilginizi artırıcı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düşünce bulacaksınız."</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21. </w:t>
            </w:r>
            <w:r w:rsidRPr="00B4242B">
              <w:rPr>
                <w:rFonts w:ascii="Verdana" w:eastAsia="Times New Roman" w:hAnsi="Verdana" w:cs="Times New Roman"/>
                <w:sz w:val="18"/>
                <w:szCs w:val="18"/>
                <w:lang w:eastAsia="tr-TR"/>
              </w:rPr>
              <w:t>Başvurucu temyiz duruşmasında bu kitabın 12 ve daha yukarı yaşlardaki çocuklar için düşünüldüğünü söylediği halde, kitabın dağıtımını olağan kitap satış kanallarıyla yapmayı planlamıştır.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22. </w:t>
            </w:r>
            <w:r w:rsidRPr="00B4242B">
              <w:rPr>
                <w:rFonts w:ascii="Verdana" w:eastAsia="Times New Roman" w:hAnsi="Verdana" w:cs="Times New Roman"/>
                <w:sz w:val="18"/>
                <w:szCs w:val="18"/>
                <w:lang w:eastAsia="tr-TR"/>
              </w:rPr>
              <w:t>Daha başka kovuşturmaya maruz kalmak istemeyen başvurucu, ilk baskının temyiz yargılaması henüz sürerken, Ders Kitabı'nın gözden geçirilmiş baskısı ile ilgili olarak avukatlarına danışmıştır; Savcıya da danışmak istemiş ise de bu girişimi sonuçsuz kalmıştır. Başvurucu, kitabın iddia makamı tarafından Sulh Mahkemesi önünde suçlanan bölümlerinin ayıklanmasına veya yeniden yazılmasına karar vermiş, ancak yeniden yazılması bazen eleştirilen bölümlerin daha da genişlemesine yol açmıştır. Okuyuculardan gelen yorum ve öneriler de dikkate alınarak başka değişiklikler de yapılmış, değişen veriler (adresler, vd.) de güncelleştirilmiştir.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23. </w:t>
            </w:r>
            <w:r w:rsidRPr="00B4242B">
              <w:rPr>
                <w:rFonts w:ascii="Verdana" w:eastAsia="Times New Roman" w:hAnsi="Verdana" w:cs="Times New Roman"/>
                <w:sz w:val="18"/>
                <w:szCs w:val="18"/>
                <w:lang w:eastAsia="tr-TR"/>
              </w:rPr>
              <w:t>Gözden geçirilmiş baskı 15 Kasım 1971'de yayınlanmıştır. Savcı, Başsavcıya danıştıktan sonra, 6 Aralık 1971'de yeni baskının kovuşturmaya tabi tutulmayacağını açıklamıştır.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 kararından önce kitabın gözden geçirilmesi tamamlanmış, baskı için sıraya girmiş ve karar açıklandıktan sonra yayınlanmıştır.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3. Konuyla İlgili İç Hukuk</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24. </w:t>
            </w:r>
            <w:r w:rsidRPr="00B4242B">
              <w:rPr>
                <w:rFonts w:ascii="Verdana" w:eastAsia="Times New Roman" w:hAnsi="Verdana" w:cs="Times New Roman"/>
                <w:sz w:val="18"/>
                <w:szCs w:val="18"/>
                <w:lang w:eastAsia="tr-TR"/>
              </w:rPr>
              <w:t>Ders Kitabı hakkındaki dava, (bundan sonra sadece "1959/1965 tarihli Yasa diye geçecek olan) 1964 tarihli Müstehcen Yayınlar Yasasıyla değişik 1959 tarihli Müstehcen Yayınlar Yasasına dayandırılmıştır.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25. </w:t>
            </w:r>
            <w:r w:rsidRPr="00B4242B">
              <w:rPr>
                <w:rFonts w:ascii="Verdana" w:eastAsia="Times New Roman" w:hAnsi="Verdana" w:cs="Times New Roman"/>
                <w:sz w:val="18"/>
                <w:szCs w:val="18"/>
                <w:lang w:eastAsia="tr-TR"/>
              </w:rPr>
              <w:t>1959/1965 tarihli Yasanın ilgili Maddeleri birlikte okunduğunda, metin şöyledir: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Madde 1:</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sz w:val="18"/>
                <w:szCs w:val="18"/>
                <w:lang w:eastAsia="tr-TR"/>
              </w:rPr>
              <w:t>"(1) Bu Yasanın amacı bakımından bir eser, (eser birden daha fazla bölümden oluşuyorsa her bir bölümü), diğer bütün koşullarla birlikte bir bütün olarak ele alındığı zaman, içerdiği veya ele aldığı konuyu okuyan veya gören veya duyan kişi üzerinde baştan çıkarma ve ayartma (</w:t>
            </w:r>
            <w:proofErr w:type="spellStart"/>
            <w:r w:rsidRPr="00B4242B">
              <w:rPr>
                <w:rFonts w:ascii="Verdana" w:eastAsia="Times New Roman" w:hAnsi="Verdana" w:cs="Times New Roman"/>
                <w:sz w:val="18"/>
                <w:szCs w:val="18"/>
                <w:lang w:eastAsia="tr-TR"/>
              </w:rPr>
              <w:t>deprave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and</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corrupt</w:t>
            </w:r>
            <w:proofErr w:type="spellEnd"/>
            <w:r w:rsidRPr="00B4242B">
              <w:rPr>
                <w:rFonts w:ascii="Verdana" w:eastAsia="Times New Roman" w:hAnsi="Verdana" w:cs="Times New Roman"/>
                <w:sz w:val="18"/>
                <w:szCs w:val="18"/>
                <w:lang w:eastAsia="tr-TR"/>
              </w:rPr>
              <w:t>) etkisini yaratmaya eğilimli ise, müstehcen sayılır.</w:t>
            </w:r>
            <w:proofErr w:type="gramEnd"/>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(2) Bu Yasaya göre, okunacak ve/veya görülecek bir şeyi içeren veya kullanan her türlü anlatım, bir ses kaydı, film veya başka türlü bir görüntü kaydı, "eser" anlamına gelir.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sz w:val="18"/>
                <w:szCs w:val="18"/>
                <w:lang w:eastAsia="tr-TR"/>
              </w:rPr>
              <w:t>....</w:t>
            </w:r>
            <w:proofErr w:type="gramEnd"/>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Madde 2:</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"(1)Kazanç sağlamak amacı olsun veya olmasın müstehcen bir eseri </w:t>
            </w:r>
            <w:proofErr w:type="gramStart"/>
            <w:r w:rsidRPr="00B4242B">
              <w:rPr>
                <w:rFonts w:ascii="Verdana" w:eastAsia="Times New Roman" w:hAnsi="Verdana" w:cs="Times New Roman"/>
                <w:sz w:val="18"/>
                <w:szCs w:val="18"/>
                <w:lang w:eastAsia="tr-TR"/>
              </w:rPr>
              <w:t>yayınlayan,</w:t>
            </w:r>
            <w:proofErr w:type="gramEnd"/>
            <w:r w:rsidRPr="00B4242B">
              <w:rPr>
                <w:rFonts w:ascii="Verdana" w:eastAsia="Times New Roman" w:hAnsi="Verdana" w:cs="Times New Roman"/>
                <w:sz w:val="18"/>
                <w:szCs w:val="18"/>
                <w:lang w:eastAsia="tr-TR"/>
              </w:rPr>
              <w:t xml:space="preserve"> veya kendisine veya başkasına kazanç sağlamak için yayınlamak üzere müstehcen bir esere sahip olan bir kimse,</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(a) kısa kararla, yüz Poundu aşmayan para </w:t>
            </w:r>
            <w:proofErr w:type="spellStart"/>
            <w:r w:rsidRPr="00B4242B">
              <w:rPr>
                <w:rFonts w:ascii="Verdana" w:eastAsia="Times New Roman" w:hAnsi="Verdana" w:cs="Times New Roman"/>
                <w:sz w:val="18"/>
                <w:szCs w:val="18"/>
                <w:lang w:eastAsia="tr-TR"/>
              </w:rPr>
              <w:t>cezas</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ıyla</w:t>
            </w:r>
            <w:proofErr w:type="spellEnd"/>
            <w:r w:rsidRPr="00B4242B">
              <w:rPr>
                <w:rFonts w:ascii="Verdana" w:eastAsia="Times New Roman" w:hAnsi="Verdana" w:cs="Times New Roman"/>
                <w:sz w:val="18"/>
                <w:szCs w:val="18"/>
                <w:lang w:eastAsia="tr-TR"/>
              </w:rPr>
              <w:t xml:space="preserve"> veya altı ayı geçmeyen bir süreyle hapis cezasıyla,</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 iddianame üzerine verilen kararla para cezasına veya üç yılı aşmayan bir süreyle hapis cezasıyla veya her ikisiyle, cezalandırılır.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 xml:space="preserve">... </w:t>
            </w:r>
            <w:proofErr w:type="gramStart"/>
            <w:r w:rsidRPr="00B4242B">
              <w:rPr>
                <w:rFonts w:ascii="Verdana" w:eastAsia="Times New Roman" w:hAnsi="Verdana" w:cs="Times New Roman"/>
                <w:sz w:val="18"/>
                <w:szCs w:val="18"/>
                <w:lang w:eastAsia="tr-TR"/>
              </w:rPr>
              <w:t>bir</w:t>
            </w:r>
            <w:proofErr w:type="gramEnd"/>
            <w:r w:rsidRPr="00B4242B">
              <w:rPr>
                <w:rFonts w:ascii="Verdana" w:eastAsia="Times New Roman" w:hAnsi="Verdana" w:cs="Times New Roman"/>
                <w:sz w:val="18"/>
                <w:szCs w:val="18"/>
                <w:lang w:eastAsia="tr-TR"/>
              </w:rPr>
              <w:t xml:space="preserve"> eseri mülkiyetinde (</w:t>
            </w:r>
            <w:proofErr w:type="spellStart"/>
            <w:r w:rsidRPr="00B4242B">
              <w:rPr>
                <w:rFonts w:ascii="Verdana" w:eastAsia="Times New Roman" w:hAnsi="Verdana" w:cs="Times New Roman"/>
                <w:sz w:val="18"/>
                <w:szCs w:val="18"/>
                <w:lang w:eastAsia="tr-TR"/>
              </w:rPr>
              <w:t>ownership</w:t>
            </w:r>
            <w:proofErr w:type="spellEnd"/>
            <w:r w:rsidRPr="00B4242B">
              <w:rPr>
                <w:rFonts w:ascii="Verdana" w:eastAsia="Times New Roman" w:hAnsi="Verdana" w:cs="Times New Roman"/>
                <w:sz w:val="18"/>
                <w:szCs w:val="18"/>
                <w:lang w:eastAsia="tr-TR"/>
              </w:rPr>
              <w:t>), tasarrufunda (</w:t>
            </w:r>
            <w:proofErr w:type="spellStart"/>
            <w:r w:rsidRPr="00B4242B">
              <w:rPr>
                <w:rFonts w:ascii="Verdana" w:eastAsia="Times New Roman" w:hAnsi="Verdana" w:cs="Times New Roman"/>
                <w:sz w:val="18"/>
                <w:szCs w:val="18"/>
                <w:lang w:eastAsia="tr-TR"/>
              </w:rPr>
              <w:t>possession</w:t>
            </w:r>
            <w:proofErr w:type="spellEnd"/>
            <w:r w:rsidRPr="00B4242B">
              <w:rPr>
                <w:rFonts w:ascii="Verdana" w:eastAsia="Times New Roman" w:hAnsi="Verdana" w:cs="Times New Roman"/>
                <w:sz w:val="18"/>
                <w:szCs w:val="18"/>
                <w:lang w:eastAsia="tr-TR"/>
              </w:rPr>
              <w:t>) veya denetiminde (</w:t>
            </w:r>
            <w:proofErr w:type="spellStart"/>
            <w:r w:rsidRPr="00B4242B">
              <w:rPr>
                <w:rFonts w:ascii="Verdana" w:eastAsia="Times New Roman" w:hAnsi="Verdana" w:cs="Times New Roman"/>
                <w:sz w:val="18"/>
                <w:szCs w:val="18"/>
                <w:lang w:eastAsia="tr-TR"/>
              </w:rPr>
              <w:t>control</w:t>
            </w:r>
            <w:proofErr w:type="spellEnd"/>
            <w:r w:rsidRPr="00B4242B">
              <w:rPr>
                <w:rFonts w:ascii="Verdana" w:eastAsia="Times New Roman" w:hAnsi="Verdana" w:cs="Times New Roman"/>
                <w:sz w:val="18"/>
                <w:szCs w:val="18"/>
                <w:lang w:eastAsia="tr-TR"/>
              </w:rPr>
              <w:t>) tutmak amacıyla sahip olan kimse, yayından kazanç sağlamak için elde bulunduran sayılır.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(4) Suç fiilinin esasını, konusu müstehcen olan bir eser oluşturuyorsa, müstehcen bir konuyu içeren yayından meydana gelen bir eseri yayınlayan kişi hakkında, "</w:t>
            </w:r>
            <w:proofErr w:type="spellStart"/>
            <w:r w:rsidRPr="00B4242B">
              <w:rPr>
                <w:rFonts w:ascii="Verdana" w:eastAsia="Times New Roman" w:hAnsi="Verdana" w:cs="Times New Roman"/>
                <w:sz w:val="18"/>
                <w:szCs w:val="18"/>
                <w:lang w:eastAsia="tr-TR"/>
              </w:rPr>
              <w:t>common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law"a</w:t>
            </w:r>
            <w:proofErr w:type="spellEnd"/>
            <w:r w:rsidRPr="00B4242B">
              <w:rPr>
                <w:rFonts w:ascii="Verdana" w:eastAsia="Times New Roman" w:hAnsi="Verdana" w:cs="Times New Roman"/>
                <w:sz w:val="18"/>
                <w:szCs w:val="18"/>
                <w:lang w:eastAsia="tr-TR"/>
              </w:rPr>
              <w:t xml:space="preserve"> göre suç işlemekten ötürü dava açılmaz.</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Madde 3:</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(1) Bir Sulh Yargıcı, yeminli olarak yapılan bir ihbar üzerine, ihbarda belirtilen bir yerde yayından kazanç sağlamak amacıyla müstehcen eserlerin bulunduğundan veya bu yerde zaman zaman böyle eserlerin saklandığından kuşkulanmak için makul nedenlerin bulunduğu kanısına varırsa, ...polisin on dört gün içinde bu yerlere (gerekirse zorla) girmesi ve arama yapması, ... </w:t>
            </w:r>
            <w:proofErr w:type="gramStart"/>
            <w:r w:rsidRPr="00B4242B">
              <w:rPr>
                <w:rFonts w:ascii="Verdana" w:eastAsia="Times New Roman" w:hAnsi="Verdana" w:cs="Times New Roman"/>
                <w:sz w:val="18"/>
                <w:szCs w:val="18"/>
                <w:lang w:eastAsia="tr-TR"/>
              </w:rPr>
              <w:t>polisin</w:t>
            </w:r>
            <w:proofErr w:type="gramEnd"/>
            <w:r w:rsidRPr="00B4242B">
              <w:rPr>
                <w:rFonts w:ascii="Verdana" w:eastAsia="Times New Roman" w:hAnsi="Verdana" w:cs="Times New Roman"/>
                <w:sz w:val="18"/>
                <w:szCs w:val="18"/>
                <w:lang w:eastAsia="tr-TR"/>
              </w:rPr>
              <w:t xml:space="preserve"> burada bulduğu eserlerin müstehcen olduğuna ve yayından kazanç sağlamak için saklandığına inanmasını gerektirecek nedenlerin varlığı halinde eserlere el koyması ve götürmesi için izin verebilir.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(2) Yukarıdaki fıkraya göre verilen izin, eserlere el konulmasını içeriyorsa, izin o tesislerde bulunan eserin... </w:t>
            </w:r>
            <w:proofErr w:type="gramStart"/>
            <w:r w:rsidRPr="00B4242B">
              <w:rPr>
                <w:rFonts w:ascii="Verdana" w:eastAsia="Times New Roman" w:hAnsi="Verdana" w:cs="Times New Roman"/>
                <w:sz w:val="18"/>
                <w:szCs w:val="18"/>
                <w:lang w:eastAsia="tr-TR"/>
              </w:rPr>
              <w:t>üretimi</w:t>
            </w:r>
            <w:proofErr w:type="gramEnd"/>
            <w:r w:rsidRPr="00B4242B">
              <w:rPr>
                <w:rFonts w:ascii="Verdana" w:eastAsia="Times New Roman" w:hAnsi="Verdana" w:cs="Times New Roman"/>
                <w:sz w:val="18"/>
                <w:szCs w:val="18"/>
                <w:lang w:eastAsia="tr-TR"/>
              </w:rPr>
              <w:t xml:space="preserve"> ve ticareti ile ilgili her türlü dokümana el konulmasını da kapsayabilir.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(3) Sulh Yargıcı eserlere el konulduktan </w:t>
            </w:r>
            <w:proofErr w:type="gramStart"/>
            <w:r w:rsidRPr="00B4242B">
              <w:rPr>
                <w:rFonts w:ascii="Verdana" w:eastAsia="Times New Roman" w:hAnsi="Verdana" w:cs="Times New Roman"/>
                <w:sz w:val="18"/>
                <w:szCs w:val="18"/>
                <w:lang w:eastAsia="tr-TR"/>
              </w:rPr>
              <w:t>sonra ...tesislerde</w:t>
            </w:r>
            <w:proofErr w:type="gramEnd"/>
            <w:r w:rsidRPr="00B4242B">
              <w:rPr>
                <w:rFonts w:ascii="Verdana" w:eastAsia="Times New Roman" w:hAnsi="Verdana" w:cs="Times New Roman"/>
                <w:sz w:val="18"/>
                <w:szCs w:val="18"/>
                <w:lang w:eastAsia="tr-TR"/>
              </w:rPr>
              <w:t xml:space="preserve"> bulunanlara bildirimde bulunarak, el konulan eserler üzerinde haklarını kaybetmemeleri için Sulh Mahkemesi önünde gerekçe göstermelerini isteyebilir; ve eğer mahkeme, el konulan eserlerin kazanç için saklanan müstehcen eserler olduğuna ikna olursa eserler üzerinde hak kaybına karar verebilir.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(4) Bildirimi alan kişilerden başka, dava konusu eserlerin sahibi, yazarı veya üreticisi veya el konulmadan önce esere katkısı bulunan kimselerin eser üzerinde hak kaybetmemesi için gerekçe göstermek üzere mahkemeye çıkma hakkı vardır.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(5) Bu maddeye göre eser üzerinde hak kaybına karar verildiğinde, buna itiraz etmek üzere mahkeme önüne çıkan veya çıkmaya hakkı olan kişiler, bu karar aleyhine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mahkemesine başvurabilirler. Hak kaybı kararı, kararın verildiği tarihten itibaren on dört gün geçmedikçe, eğer bu süre içinde usulüne uygun olarak itiraz dilekçesi verilmiş veya Yüksek Mahkemenin görüşü için başvuru yapılmışsa, dava veya temyiz işlemlerinin sonuçlanmasına veya bundan feragat edilmesine kadar uygulanmaz.</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(7) Bu madde bakımından bir eserin müstehcen olup olmadığı sorunu, kopyasının içinde bulunduğu durumun gösterdiği bir yoldan başka bir yolla yayınlanmayacağı varsayımı üzerine karara bağlanır.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...3. maddeye göre eserlere el konulduğunda... </w:t>
            </w:r>
            <w:proofErr w:type="gramStart"/>
            <w:r w:rsidRPr="00B4242B">
              <w:rPr>
                <w:rFonts w:ascii="Verdana" w:eastAsia="Times New Roman" w:hAnsi="Verdana" w:cs="Times New Roman"/>
                <w:sz w:val="18"/>
                <w:szCs w:val="18"/>
                <w:lang w:eastAsia="tr-TR"/>
              </w:rPr>
              <w:t>ve</w:t>
            </w:r>
            <w:proofErr w:type="gramEnd"/>
            <w:r w:rsidRPr="00B4242B">
              <w:rPr>
                <w:rFonts w:ascii="Verdana" w:eastAsia="Times New Roman" w:hAnsi="Verdana" w:cs="Times New Roman"/>
                <w:sz w:val="18"/>
                <w:szCs w:val="18"/>
                <w:lang w:eastAsia="tr-TR"/>
              </w:rPr>
              <w:t xml:space="preserve"> yayın kazancı için bunlara sahip olan... </w:t>
            </w:r>
            <w:proofErr w:type="gramStart"/>
            <w:r w:rsidRPr="00B4242B">
              <w:rPr>
                <w:rFonts w:ascii="Verdana" w:eastAsia="Times New Roman" w:hAnsi="Verdana" w:cs="Times New Roman"/>
                <w:sz w:val="18"/>
                <w:szCs w:val="18"/>
                <w:lang w:eastAsia="tr-TR"/>
              </w:rPr>
              <w:t>kimse</w:t>
            </w:r>
            <w:proofErr w:type="gramEnd"/>
            <w:r w:rsidRPr="00B4242B">
              <w:rPr>
                <w:rFonts w:ascii="Verdana" w:eastAsia="Times New Roman" w:hAnsi="Verdana" w:cs="Times New Roman"/>
                <w:sz w:val="18"/>
                <w:szCs w:val="18"/>
                <w:lang w:eastAsia="tr-TR"/>
              </w:rPr>
              <w:t xml:space="preserve"> 2. maddeye göre mahkum edildiğinde, mahkeme mahkumiyet kararından sonra eserler üzerinde hak kaybına karar verebilir.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Temyiz üzerine verilen karar da </w:t>
            </w:r>
            <w:proofErr w:type="gramStart"/>
            <w:r w:rsidRPr="00B4242B">
              <w:rPr>
                <w:rFonts w:ascii="Verdana" w:eastAsia="Times New Roman" w:hAnsi="Verdana" w:cs="Times New Roman"/>
                <w:sz w:val="18"/>
                <w:szCs w:val="18"/>
                <w:lang w:eastAsia="tr-TR"/>
              </w:rPr>
              <w:t>dahil</w:t>
            </w:r>
            <w:proofErr w:type="gramEnd"/>
            <w:r w:rsidRPr="00B4242B">
              <w:rPr>
                <w:rFonts w:ascii="Verdana" w:eastAsia="Times New Roman" w:hAnsi="Verdana" w:cs="Times New Roman"/>
                <w:sz w:val="18"/>
                <w:szCs w:val="18"/>
                <w:lang w:eastAsia="tr-TR"/>
              </w:rPr>
              <w:t xml:space="preserve"> olmak üzere, bu fıkraya göre verilen bir karar, gereği gibi yapılan temyizin görülmesi aşamasında geçen olağan sürenin sonuna kadar veya temyizden feragat edilmesine uygulanmaz.</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Madde 4:</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"(1) Söz konusu eserin, bilim, edebiyat, sanat ve kültür veya genel ilgi konularından birine girdiği gerekçesiyle yayınlanmasında kamu yararı (</w:t>
            </w:r>
            <w:proofErr w:type="spellStart"/>
            <w:r w:rsidRPr="00B4242B">
              <w:rPr>
                <w:rFonts w:ascii="Verdana" w:eastAsia="Times New Roman" w:hAnsi="Verdana" w:cs="Times New Roman"/>
                <w:sz w:val="18"/>
                <w:szCs w:val="18"/>
                <w:lang w:eastAsia="tr-TR"/>
              </w:rPr>
              <w:t>public</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good</w:t>
            </w:r>
            <w:proofErr w:type="spellEnd"/>
            <w:r w:rsidRPr="00B4242B">
              <w:rPr>
                <w:rFonts w:ascii="Verdana" w:eastAsia="Times New Roman" w:hAnsi="Verdana" w:cs="Times New Roman"/>
                <w:sz w:val="18"/>
                <w:szCs w:val="18"/>
                <w:lang w:eastAsia="tr-TR"/>
              </w:rPr>
              <w:t xml:space="preserve">) bulunduğu kanıtlanırsa, bu yasanın ikinci maddesindeki suçtan ötürü </w:t>
            </w:r>
            <w:proofErr w:type="gramStart"/>
            <w:r w:rsidRPr="00B4242B">
              <w:rPr>
                <w:rFonts w:ascii="Verdana" w:eastAsia="Times New Roman" w:hAnsi="Verdana" w:cs="Times New Roman"/>
                <w:sz w:val="18"/>
                <w:szCs w:val="18"/>
                <w:lang w:eastAsia="tr-TR"/>
              </w:rPr>
              <w:t>mahkumiyete</w:t>
            </w:r>
            <w:proofErr w:type="gramEnd"/>
            <w:r w:rsidRPr="00B4242B">
              <w:rPr>
                <w:rFonts w:ascii="Verdana" w:eastAsia="Times New Roman" w:hAnsi="Verdana" w:cs="Times New Roman"/>
                <w:sz w:val="18"/>
                <w:szCs w:val="18"/>
                <w:lang w:eastAsia="tr-TR"/>
              </w:rPr>
              <w:t xml:space="preserve"> ve yukarıdaki maddeye göre hak kaybına karar verilemez.</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(2) Bu yasaya göre görülen bir davada, sözü edilen gerekçenin desteklenmesi veya çürütülmesinde, eserin ilgili bulunduğu edebiyat, sanat, bilim veya diğer konulardaki uzmanların görüşleri dinlenebilir.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Madde 5:</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(3) Bu Yasa İskoçya ve Kuzey İrlanda'da uygulanmaz.</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26. </w:t>
            </w:r>
            <w:r w:rsidRPr="00B4242B">
              <w:rPr>
                <w:rFonts w:ascii="Verdana" w:eastAsia="Times New Roman" w:hAnsi="Verdana" w:cs="Times New Roman"/>
                <w:sz w:val="18"/>
                <w:szCs w:val="18"/>
                <w:lang w:eastAsia="tr-TR"/>
              </w:rPr>
              <w:t>Ele alınan gelişmeler sırasında yetkililer bir ceza davası açmak yerine çekişmesiz yargılama usulünü (</w:t>
            </w:r>
            <w:proofErr w:type="spellStart"/>
            <w:r w:rsidRPr="00B4242B">
              <w:rPr>
                <w:rFonts w:ascii="Verdana" w:eastAsia="Times New Roman" w:hAnsi="Verdana" w:cs="Times New Roman"/>
                <w:sz w:val="18"/>
                <w:szCs w:val="18"/>
                <w:lang w:eastAsia="tr-TR"/>
              </w:rPr>
              <w:t>non-contentious</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procedure</w:t>
            </w:r>
            <w:proofErr w:type="spellEnd"/>
            <w:r w:rsidRPr="00B4242B">
              <w:rPr>
                <w:rFonts w:ascii="Verdana" w:eastAsia="Times New Roman" w:hAnsi="Verdana" w:cs="Times New Roman"/>
                <w:sz w:val="18"/>
                <w:szCs w:val="18"/>
                <w:lang w:eastAsia="tr-TR"/>
              </w:rPr>
              <w:t>) ("</w:t>
            </w:r>
            <w:proofErr w:type="spellStart"/>
            <w:r w:rsidRPr="00B4242B">
              <w:rPr>
                <w:rFonts w:ascii="Verdana" w:eastAsia="Times New Roman" w:hAnsi="Verdana" w:cs="Times New Roman"/>
                <w:sz w:val="18"/>
                <w:szCs w:val="18"/>
                <w:lang w:eastAsia="tr-TR"/>
              </w:rPr>
              <w:t>disclaimer</w:t>
            </w:r>
            <w:proofErr w:type="spellEnd"/>
            <w:r w:rsidRPr="00B4242B">
              <w:rPr>
                <w:rFonts w:ascii="Verdana" w:eastAsia="Times New Roman" w:hAnsi="Verdana" w:cs="Times New Roman"/>
                <w:sz w:val="18"/>
                <w:szCs w:val="18"/>
                <w:lang w:eastAsia="tr-TR"/>
              </w:rPr>
              <w:t>/</w:t>
            </w:r>
            <w:proofErr w:type="spellStart"/>
            <w:r w:rsidRPr="00B4242B">
              <w:rPr>
                <w:rFonts w:ascii="Verdana" w:eastAsia="Times New Roman" w:hAnsi="Verdana" w:cs="Times New Roman"/>
                <w:sz w:val="18"/>
                <w:szCs w:val="18"/>
                <w:lang w:eastAsia="tr-TR"/>
              </w:rPr>
              <w:t>caution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procedure</w:t>
            </w:r>
            <w:proofErr w:type="spellEnd"/>
            <w:r w:rsidRPr="00B4242B">
              <w:rPr>
                <w:rFonts w:ascii="Verdana" w:eastAsia="Times New Roman" w:hAnsi="Verdana" w:cs="Times New Roman"/>
                <w:sz w:val="18"/>
                <w:szCs w:val="18"/>
                <w:lang w:eastAsia="tr-TR"/>
              </w:rPr>
              <w:t>") benimsemişlerdir. Ne var ki bu usul, sadece davalının eserin müstehcen olduğunu kabul ettiği ve eserin imhasına rıza gösterdiği zaman kullanılabilir. Bu usul bir uygulama sorunu yaratmaktan öte gidememiş ve 1973'te bir yargısal kararda açıklanan eleştirilerin ardından kaldırılmıştır.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 xml:space="preserve">4. "Inner </w:t>
            </w:r>
            <w:proofErr w:type="spellStart"/>
            <w:r w:rsidRPr="00B4242B">
              <w:rPr>
                <w:rFonts w:ascii="Verdana" w:eastAsia="Times New Roman" w:hAnsi="Verdana" w:cs="Times New Roman"/>
                <w:b/>
                <w:bCs/>
                <w:sz w:val="33"/>
                <w:szCs w:val="33"/>
                <w:lang w:eastAsia="tr-TR"/>
              </w:rPr>
              <w:t>London</w:t>
            </w:r>
            <w:proofErr w:type="spellEnd"/>
            <w:r w:rsidRPr="00B4242B">
              <w:rPr>
                <w:rFonts w:ascii="Verdana" w:eastAsia="Times New Roman" w:hAnsi="Verdana" w:cs="Times New Roman"/>
                <w:b/>
                <w:bCs/>
                <w:sz w:val="33"/>
                <w:szCs w:val="33"/>
                <w:lang w:eastAsia="tr-TR"/>
              </w:rPr>
              <w:t xml:space="preserve"> </w:t>
            </w:r>
            <w:proofErr w:type="spellStart"/>
            <w:r w:rsidRPr="00B4242B">
              <w:rPr>
                <w:rFonts w:ascii="Verdana" w:eastAsia="Times New Roman" w:hAnsi="Verdana" w:cs="Times New Roman"/>
                <w:b/>
                <w:bCs/>
                <w:sz w:val="33"/>
                <w:szCs w:val="33"/>
                <w:lang w:eastAsia="tr-TR"/>
              </w:rPr>
              <w:t>Quarter</w:t>
            </w:r>
            <w:proofErr w:type="spellEnd"/>
            <w:r w:rsidRPr="00B4242B">
              <w:rPr>
                <w:rFonts w:ascii="Verdana" w:eastAsia="Times New Roman" w:hAnsi="Verdana" w:cs="Times New Roman"/>
                <w:b/>
                <w:bCs/>
                <w:sz w:val="33"/>
                <w:szCs w:val="33"/>
                <w:lang w:eastAsia="tr-TR"/>
              </w:rPr>
              <w:t xml:space="preserve"> </w:t>
            </w:r>
            <w:proofErr w:type="spellStart"/>
            <w:r w:rsidRPr="00B4242B">
              <w:rPr>
                <w:rFonts w:ascii="Verdana" w:eastAsia="Times New Roman" w:hAnsi="Verdana" w:cs="Times New Roman"/>
                <w:b/>
                <w:bCs/>
                <w:sz w:val="33"/>
                <w:szCs w:val="33"/>
                <w:lang w:eastAsia="tr-TR"/>
              </w:rPr>
              <w:t>Sessions</w:t>
            </w:r>
            <w:proofErr w:type="spellEnd"/>
            <w:r w:rsidRPr="00B4242B">
              <w:rPr>
                <w:rFonts w:ascii="Verdana" w:eastAsia="Times New Roman" w:hAnsi="Verdana" w:cs="Times New Roman"/>
                <w:b/>
                <w:bCs/>
                <w:sz w:val="33"/>
                <w:szCs w:val="33"/>
                <w:lang w:eastAsia="tr-TR"/>
              </w:rPr>
              <w:t>" Mahkemesi Kararı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b/>
                <w:bCs/>
                <w:sz w:val="18"/>
                <w:szCs w:val="18"/>
                <w:lang w:eastAsia="tr-TR"/>
              </w:rPr>
              <w:t>27. </w:t>
            </w:r>
            <w:r w:rsidRPr="00B4242B">
              <w:rPr>
                <w:rFonts w:ascii="Verdana" w:eastAsia="Times New Roman" w:hAnsi="Verdana" w:cs="Times New Roman"/>
                <w:sz w:val="18"/>
                <w:szCs w:val="18"/>
                <w:lang w:eastAsia="tr-TR"/>
              </w:rPr>
              <w:t>Üst Mahkemedeki yargılama sırasında başlıca iki sorun incelenmiştir: Birincisi, Ders Kitabı'nın 1959/1964 tarihli Yasa anlamında müstehcen bir eser olduğunun kamu makamları tarafından makul bir kuşkuya yer bırakmayacak biçimde kanıtlanıp kanıtlanmadığı; kanıtlandıysa, ikinci olarak, 1959/1964 tarihli Yasanın 4. maddesine göre menfaatler dengesi bakımından, başvurucunun yaptığı savunmada kitabın yayınlanmasında kamu menfaati bulunduğunu gösterip gösteremediğidir.</w:t>
            </w:r>
            <w:proofErr w:type="gramEnd"/>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28. </w:t>
            </w:r>
            <w:r w:rsidRPr="00B4242B">
              <w:rPr>
                <w:rFonts w:ascii="Verdana" w:eastAsia="Times New Roman" w:hAnsi="Verdana" w:cs="Times New Roman"/>
                <w:sz w:val="18"/>
                <w:szCs w:val="18"/>
                <w:lang w:eastAsia="tr-TR"/>
              </w:rPr>
              <w:t>Mahkeme önce müstehcenlik sorununu ele almıştır. Başka bir davada verilen bir kararı örnek alan mahkeme, bu olayda da, eseri okuması muhtemel kişinin okuduklarını belirli bir oranda gerçekleştirmek isteyeceğine ikna olması gerektiğini not etmiştir. Bu mahkeme ayrıca, "baştan çıkarma ve ayartma" sözcüklerinin anlamını, başka bir davada açıklandığı anlamıyla kabul etmiş ve bu anlam taraflar arasında bir uyuşmazlık konusu olmamıştır.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29. </w:t>
            </w:r>
            <w:r w:rsidRPr="00B4242B">
              <w:rPr>
                <w:rFonts w:ascii="Verdana" w:eastAsia="Times New Roman" w:hAnsi="Verdana" w:cs="Times New Roman"/>
                <w:sz w:val="18"/>
                <w:szCs w:val="18"/>
                <w:lang w:eastAsia="tr-TR"/>
              </w:rPr>
              <w:t>Önceki içtihatları göz önünde bulunduran mahkeme, Ders Kitabı'nın müstehcen olup olmadığı hakkında uzman dinlenmesini kabul etmiştir. Müstehcenliğin belirlenmesi konusunda uzman dinlenmesi normal olmadığı halde, eserin çocuklar üzerindeki etkisinden dolayı, bu davada sadece 1959/1965 tarihli Yasanın 4. maddesi ile ilgili savunmayla bağlantılı olarak uzmanlar dinlenebilecektir.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 nedenle mahkeme, özellikle psikiyatri ve eğitim gibi çeşitli alanlarda uzman olan, iddia makamının gösterdiği yedi, başvurucunun gösterdiği dokuz tanığı dinlemiştir. Tanıklar birbirlerinden çok </w:t>
            </w:r>
            <w:proofErr w:type="spellStart"/>
            <w:r w:rsidRPr="00B4242B">
              <w:rPr>
                <w:rFonts w:ascii="Verdana" w:eastAsia="Times New Roman" w:hAnsi="Verdana" w:cs="Times New Roman"/>
                <w:sz w:val="18"/>
                <w:szCs w:val="18"/>
                <w:lang w:eastAsia="tr-TR"/>
              </w:rPr>
              <w:t>farkıl</w:t>
            </w:r>
            <w:proofErr w:type="spellEnd"/>
            <w:r w:rsidRPr="00B4242B">
              <w:rPr>
                <w:rFonts w:ascii="Verdana" w:eastAsia="Times New Roman" w:hAnsi="Verdana" w:cs="Times New Roman"/>
                <w:sz w:val="18"/>
                <w:szCs w:val="18"/>
                <w:lang w:eastAsia="tr-TR"/>
              </w:rPr>
              <w:t xml:space="preserve"> görüşler ifade etmişlerdir. Tanıklar dinlendikten sonra başvurucu, bu yüksek nitelikli uzmanların iddia makamının iddiasına karşı oldukları izlenimi çıktığından, kitabın kesinlikle baştan çıkarma ve ayartma eğilimine sahip bulunduğunu söylemenin </w:t>
            </w:r>
            <w:proofErr w:type="gramStart"/>
            <w:r w:rsidRPr="00B4242B">
              <w:rPr>
                <w:rFonts w:ascii="Verdana" w:eastAsia="Times New Roman" w:hAnsi="Verdana" w:cs="Times New Roman"/>
                <w:sz w:val="18"/>
                <w:szCs w:val="18"/>
                <w:lang w:eastAsia="tr-TR"/>
              </w:rPr>
              <w:t>imkansız</w:t>
            </w:r>
            <w:proofErr w:type="gramEnd"/>
            <w:r w:rsidRPr="00B4242B">
              <w:rPr>
                <w:rFonts w:ascii="Verdana" w:eastAsia="Times New Roman" w:hAnsi="Verdana" w:cs="Times New Roman"/>
                <w:sz w:val="18"/>
                <w:szCs w:val="18"/>
                <w:lang w:eastAsia="tr-TR"/>
              </w:rPr>
              <w:t xml:space="preserve"> olduğunu iddia etmiştir. Mahkeme bu görüşü kabul etmemiştir. Mahkeme 29 Ekim 1971 tarihli kararında, şu ya da bu yolla kitaptan etkilenebilecek çocukların görgülerinde hemen hemen sonsuz ölçüde çeşitlilik bulunduğuna, bu nedenle bu davada "kesin </w:t>
            </w:r>
            <w:proofErr w:type="spellStart"/>
            <w:r w:rsidRPr="00B4242B">
              <w:rPr>
                <w:rFonts w:ascii="Verdana" w:eastAsia="Times New Roman" w:hAnsi="Verdana" w:cs="Times New Roman"/>
                <w:sz w:val="18"/>
                <w:szCs w:val="18"/>
                <w:lang w:eastAsia="tr-TR"/>
              </w:rPr>
              <w:t>gerçekler"den</w:t>
            </w:r>
            <w:proofErr w:type="spellEnd"/>
            <w:r w:rsidRPr="00B4242B">
              <w:rPr>
                <w:rFonts w:ascii="Verdana" w:eastAsia="Times New Roman" w:hAnsi="Verdana" w:cs="Times New Roman"/>
                <w:sz w:val="18"/>
                <w:szCs w:val="18"/>
                <w:lang w:eastAsia="tr-TR"/>
              </w:rPr>
              <w:t xml:space="preserve"> bahsetmenin güç olduğuna işaret etmiştir. Başvurucunun dinlettiği tanıklar, çocukların eğitim ve yetiştirilmesi konusuna çok değişik bir görüşün uç bir noktasından yaklaşmışlardır. İddia makamının dinlettiği tanıklar ise tam tersi eğilimde, ama daha az radikal olanların görüşlerine yaklaşmışlardır. Mahkeme başvurucunun lehine olan delilleri incelerken, tanıkların </w:t>
            </w:r>
            <w:proofErr w:type="gramStart"/>
            <w:r w:rsidRPr="00B4242B">
              <w:rPr>
                <w:rFonts w:ascii="Verdana" w:eastAsia="Times New Roman" w:hAnsi="Verdana" w:cs="Times New Roman"/>
                <w:sz w:val="18"/>
                <w:szCs w:val="18"/>
                <w:lang w:eastAsia="tr-TR"/>
              </w:rPr>
              <w:t>bir çoğunun</w:t>
            </w:r>
            <w:proofErr w:type="gramEnd"/>
            <w:r w:rsidRPr="00B4242B">
              <w:rPr>
                <w:rFonts w:ascii="Verdana" w:eastAsia="Times New Roman" w:hAnsi="Verdana" w:cs="Times New Roman"/>
                <w:sz w:val="18"/>
                <w:szCs w:val="18"/>
                <w:lang w:eastAsia="tr-TR"/>
              </w:rPr>
              <w:t xml:space="preserve"> genel olarak kitaba karşı eleştiriden uzak ve övgülerinde ölçüsüz olmalarının, kendilerini olması gerekenden daha az inandırıcı kıldığı sonucuna varmıştır. Özetle mahkeme, tanıkların </w:t>
            </w:r>
            <w:proofErr w:type="gramStart"/>
            <w:r w:rsidRPr="00B4242B">
              <w:rPr>
                <w:rFonts w:ascii="Verdana" w:eastAsia="Times New Roman" w:hAnsi="Verdana" w:cs="Times New Roman"/>
                <w:sz w:val="18"/>
                <w:szCs w:val="18"/>
                <w:lang w:eastAsia="tr-TR"/>
              </w:rPr>
              <w:t>bir çoğunun</w:t>
            </w:r>
            <w:proofErr w:type="gramEnd"/>
            <w:r w:rsidRPr="00B4242B">
              <w:rPr>
                <w:rFonts w:ascii="Verdana" w:eastAsia="Times New Roman" w:hAnsi="Verdana" w:cs="Times New Roman"/>
                <w:sz w:val="18"/>
                <w:szCs w:val="18"/>
                <w:lang w:eastAsia="tr-TR"/>
              </w:rPr>
              <w:t>, sorumluluk duygusuyla kanaatlerini belirtme gücünden kendilerini yoksun bırakacak ve bu konuda verdikleri ifadeleri değersizleştirecek kadar aşırı bir görüş çerçevesinde, tek yanlı olduklarını kabul etmiştir.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30. </w:t>
            </w:r>
            <w:r w:rsidRPr="00B4242B">
              <w:rPr>
                <w:rFonts w:ascii="Verdana" w:eastAsia="Times New Roman" w:hAnsi="Verdana" w:cs="Times New Roman"/>
                <w:sz w:val="18"/>
                <w:szCs w:val="18"/>
                <w:lang w:eastAsia="tr-TR"/>
              </w:rPr>
              <w:t>Mahkeme ilk önce, Ders Kitabı'nın, gelişimlerinin çok önemli bir aşamasından geçen çocukları hedeflediğini saptamıştır. Böyle bir durumda mahkemeler, önemli bir sorumluluğu yerine getirmelidir. Bu davanın konusu olan eser, alternatif görüşlerin de bulunduğunu belirtmeyen ve farklı görüşlerin hakkını vermeyen, tam anlamıyla yetişkinlere hitap eden, uç türde bir eserdir. Bu durum, bu kitapta verilen bazı keskin tavsiyeler hakkında çocukların dengeli bir görüş oluşturma olanaklarını azaltmaktadır.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31. </w:t>
            </w:r>
            <w:r w:rsidRPr="00B4242B">
              <w:rPr>
                <w:rFonts w:ascii="Verdana" w:eastAsia="Times New Roman" w:hAnsi="Verdana" w:cs="Times New Roman"/>
                <w:sz w:val="18"/>
                <w:szCs w:val="18"/>
                <w:lang w:eastAsia="tr-TR"/>
              </w:rPr>
              <w:t xml:space="preserve">Mahkeme kitabın </w:t>
            </w:r>
            <w:proofErr w:type="spellStart"/>
            <w:r w:rsidRPr="00B4242B">
              <w:rPr>
                <w:rFonts w:ascii="Verdana" w:eastAsia="Times New Roman" w:hAnsi="Verdana" w:cs="Times New Roman"/>
                <w:sz w:val="18"/>
                <w:szCs w:val="18"/>
                <w:lang w:eastAsia="tr-TR"/>
              </w:rPr>
              <w:t>ardalanını</w:t>
            </w:r>
            <w:proofErr w:type="spellEnd"/>
            <w:r w:rsidRPr="00B4242B">
              <w:rPr>
                <w:rFonts w:ascii="Verdana" w:eastAsia="Times New Roman" w:hAnsi="Verdana" w:cs="Times New Roman"/>
                <w:sz w:val="18"/>
                <w:szCs w:val="18"/>
                <w:lang w:eastAsia="tr-TR"/>
              </w:rPr>
              <w:t xml:space="preserve"> da kısaca incelemiştir. Kitaba bir bütün olarak bakıldığında, örneğin evliliğin büyük ölçüde ihmal edildiği görülmektedir. Tek yanlı bir görüşün olaylarla kaynaştırılması ve bunların dayanak olarak gösterilmesi, kitapta yeterince yer verilmeyen, ancak insana sorumluluk ve sınırlılık duygusu kazandıran aile, kilise ve gençlik örgütleri gibi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etkenin gücünü çok sayıdaki çocuğun gözünde zayıflatacaktır.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Mahkeme, çocuğun düzeyinden baktığında ise, Ders Kitabı'nın bir bütün olarak iyi öğretmen-çocuk ilişkisine muhalif olduğu, özellikle öğretmenler ve çocuklar arasında bulunan sadece otorite ilişkisi değil, güven ilişkisi bakımından da yıkıcı sayılabilecek pek çok pasajın yer aldığı sonucuna varmıştır.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32. </w:t>
            </w:r>
            <w:r w:rsidRPr="00B4242B">
              <w:rPr>
                <w:rFonts w:ascii="Verdana" w:eastAsia="Times New Roman" w:hAnsi="Verdana" w:cs="Times New Roman"/>
                <w:sz w:val="18"/>
                <w:szCs w:val="18"/>
                <w:lang w:eastAsia="tr-TR"/>
              </w:rPr>
              <w:t>Baştan çıkarma ve ayartma sorununa geçen mahkeme, kitabın içeriğinde kişinin topluma ve kendisine karşı sorumluluk duyması gereğinin bütünüyle eksik olmadığını; ancak bunun tamamıyla ikinci derecede bırakıldığını kabul etmiştir. Mahkeme, kitapta baştan çıkarma ve ayartma eğilimi bulunduğunu göstermek için, aşağıdaki alıntıya dayanmıştır: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A. "Kendi Başınıza" başlıklı pasaj (s.77):</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"Belki uyuşturucu kullanıyorsunuz, kız veya erkek arkadaşlarınızla yatıyorsunuz. İster cesaret edemediğiniz için, isterse sadece gizlemek istediğiniz için olsun, ailenize ve öğretmenlerinize bunu söylemeyin.</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Gerçekten yapmak istediğiniz şeyler için utanma veya suçluluk duygusu duymayın. Aileniz ve öğretmenleriniz bu yaptıklarınızı kabul etmeyecekleri için, aslında bunların doğru olduğunu düşünün. İlerideki yaşamınızda bu türden şeyler, onaylanmış şeylerden daha önemli olacaktır."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İtiraz konusu nokta, uyuşturucu kullanmanın yasadışı olduğunun burada belirtilmeyip, kitabın daha sonra, tamamıyla başka bir bölümünde belirtilmiş olmasıdır. Aynı biçimde, on dört yaşından küçük erkek ve on altı yaşından küçük kızla cinsel ilişki kurmanın yasadışı olduğuna dair bir ifade bulunmamaktadır. Ders Kitabı'nın bir kaynak kitap olarak tanıtıldığı ve bir kimsenin böyle bir kitabı bütünüyle okumaktan çok, aradığı bir bölüme bakacağı hatırlanmalıdır.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 "Seks" ana başlığı altındaki "Cinsel ilişki ve sevişme" başlıklı pasaja (s.97-98) gelince: Mahkemenin, okuyacakları düşünülen küçük yaştaki çocukların önüne, sınırları ve mantıksızlıkları hakkında hiçbir uyarıda bulunmaksızın şu pasajı koymak, baştan çıkarma ve ayartma sonucu verir.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C. "Pornografi" (s.103-105) başlığı altında, özellikle şu pasajı okuyalım:</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"Porno eğer ciddiye alınmazsa ve gerçek bir yaşam olduğuna inanılmazsa, zararsız bir zevktir. Pornoyu gerçek yaşamla karıştıran bir kimse, önemli ölçüde hayal kırıklığına uğrayacaktır.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Fakat pornodan bazı olumlu düşünceler edinmeniz ve daha önce denemediğiniz ve size ilginç gelen bazı şeyleri bulmanız da mümkündür."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Makul ve duyarlı olan birinci paragrafı ne yazık ki, pornoda benimseyebilecekleri türden bazı olumlu düşünceler bulabileceklerini çocuklara telkin eden ikinci paragraf izlemektedir. Bu paragraf, önemli sayıda çocuğun böyle şeyleri aramak ve uygulamakla kendilerini yükümlü hissetmeleri ihtimalini doğurmaktadır. Dahası, bir önceki sayfada şu pasaj yer almaktadır: "Ancak başka çeşitleri de vardır. Örneğin, hayvanlarla cinsel ilişki resimleri ya da değişik yollarla birbirlerine acı veren insanların resimleri gibi. Pornografik öyküler aynı türdeki şeyleri anlatır". Bu mahkemeye göre, bu ifadenin bir sonucu olarak genç insanların hayvanlarla cinsel ilişkiye girme suçlarını işleyebilecekleri umulmasa bile, bu pasajın, yaşamlarının henüz sıkıntılı ve oturmamış, cinsel yönden en heyecanlı döneminde bulunan çocukların eline geçmesi durumunda, cinsel tatmin için birbirlerine başka biçimlerde zarar verici eylemde bulunmaları ihtimali vardır. Uyuşturucu kullanmak da olduğu gibi, on dört yaşından küçük erkekler ile on altı yaşından küçük kızların cinsel ilişkide bulunmaları da </w:t>
            </w:r>
            <w:proofErr w:type="gramStart"/>
            <w:r w:rsidRPr="00B4242B">
              <w:rPr>
                <w:rFonts w:ascii="Verdana" w:eastAsia="Times New Roman" w:hAnsi="Verdana" w:cs="Times New Roman"/>
                <w:sz w:val="18"/>
                <w:szCs w:val="18"/>
                <w:lang w:eastAsia="tr-TR"/>
              </w:rPr>
              <w:t>pekala</w:t>
            </w:r>
            <w:proofErr w:type="gramEnd"/>
            <w:r w:rsidRPr="00B4242B">
              <w:rPr>
                <w:rFonts w:ascii="Verdana" w:eastAsia="Times New Roman" w:hAnsi="Verdana" w:cs="Times New Roman"/>
                <w:sz w:val="18"/>
                <w:szCs w:val="18"/>
                <w:lang w:eastAsia="tr-TR"/>
              </w:rPr>
              <w:t xml:space="preserve"> suç sayılır. "Baştan çıkarma ve ayartma" ifadesi, bu türden suçların işlenmesini kabul ve teşvik etmeyi de kapsamalıdır.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33. </w:t>
            </w:r>
            <w:r w:rsidRPr="00B4242B">
              <w:rPr>
                <w:rFonts w:ascii="Verdana" w:eastAsia="Times New Roman" w:hAnsi="Verdana" w:cs="Times New Roman"/>
                <w:sz w:val="18"/>
                <w:szCs w:val="18"/>
                <w:lang w:eastAsia="tr-TR"/>
              </w:rPr>
              <w:t xml:space="preserve">Mahkeme’ye göre, "kitap bir bütün olarak değerlendirildiğinde, cinsellik hakkındaki bölüm veya gençler üzerine bölüm ya da kısım, hangisi seçilirse seçilsin, bunu okuma olasılığı bulunan önemli sayıda çocuğun, baştan çıkarılmaya ve ayartılmaya yönlendirildiği" sonucuna </w:t>
            </w:r>
            <w:proofErr w:type="gramStart"/>
            <w:r w:rsidRPr="00B4242B">
              <w:rPr>
                <w:rFonts w:ascii="Verdana" w:eastAsia="Times New Roman" w:hAnsi="Verdana" w:cs="Times New Roman"/>
                <w:sz w:val="18"/>
                <w:szCs w:val="18"/>
                <w:lang w:eastAsia="tr-TR"/>
              </w:rPr>
              <w:t>varmış;</w:t>
            </w:r>
            <w:proofErr w:type="gramEnd"/>
            <w:r w:rsidRPr="00B4242B">
              <w:rPr>
                <w:rFonts w:ascii="Verdana" w:eastAsia="Times New Roman" w:hAnsi="Verdana" w:cs="Times New Roman"/>
                <w:sz w:val="18"/>
                <w:szCs w:val="18"/>
                <w:lang w:eastAsia="tr-TR"/>
              </w:rPr>
              <w:t xml:space="preserve"> ve bunu okuyacak çocukların önemli bir kısmının on altı yaşından küçük çocuklar olacağını düşünmüştür.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34. </w:t>
            </w:r>
            <w:r w:rsidRPr="00B4242B">
              <w:rPr>
                <w:rFonts w:ascii="Verdana" w:eastAsia="Times New Roman" w:hAnsi="Verdana" w:cs="Times New Roman"/>
                <w:sz w:val="18"/>
                <w:szCs w:val="18"/>
                <w:lang w:eastAsia="tr-TR"/>
              </w:rPr>
              <w:t xml:space="preserve">Mahkeme son olarak, 1959/1964 tarihli Yasaya göre savunma konusunu ele almıştır. Mahkeme, kitapta kendi başına ele alındığında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iyi kısmın bulunduğunu, iyinin kötü şeylerle karıştırılmış ve iyinin değerinin azaltılmış olmasının bir talihsizlik olduğunu belirtmiştir.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Örneğin, gebeliğin önlenmesi hakkındaki bilgilerin çoğu (s.98-102), başka yoldan bunu edinemeyen çok sayıdaki çocuğun önüne konulması gereken, uygun ve gerekli bilgilerdir. Ancak bu konudaki bilgi, her okulda gebeliği önleyici </w:t>
            </w:r>
            <w:r w:rsidRPr="00B4242B">
              <w:rPr>
                <w:rFonts w:ascii="Verdana" w:eastAsia="Times New Roman" w:hAnsi="Verdana" w:cs="Times New Roman"/>
                <w:sz w:val="18"/>
                <w:szCs w:val="18"/>
                <w:lang w:eastAsia="tr-TR"/>
              </w:rPr>
              <w:lastRenderedPageBreak/>
              <w:t>en az bir araç satılmasına izin vermeyen okul yöneticilerine karşı doğrudan tavır almanın tavsiye edilmesiyle (s.101) bozulmuştur.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Bunun gibi, eşcinsellik konusundaki düşünceler de (s.105-107), olaylara dayanan, sevecen, anlaşılabilir ve değerli ifadelerdir. Ancak iyi niyetle değerlendirilse de, konunun yeri, bağlamı ve cinsel ilişki bakımından sadece istikrarlı olan ilişkinin önerilip bunlar arasında evliliğin yer almaması, bu bölümün değerini düşürmektedir. Dahası bu pasajda, çocukların kafasında eşcinsel ilişkinin sürekli bir ilişki olduğu sonucunu yaratabilecek türden gerçek bir tehlike bulunmaktadır.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Yine zührevi hastalıklar (s.110-111), gebeliğin önlenmesi (s.98-102) ve kürtaj (s.111-116) ile ilgili bölümlerde, tarafsız ve makul, bir bütün olarak tamamıyla doğru ve gençlerden sakınılmaması gereken bir dizi tavsiyeyi içeren pasajlar bulunmaktadır. Ancak bu pasajlar, yararların dengelenmesi bakımından, baştan çıkarma ve ayartma eğilimi bulunduğuna mahkemeyi ikna eden görüş karşısında daha ikna edici değildir. Mahkeme, kitabın yayınlanması halinde bir ölçüye kadar meydana gelebilecek ahlaksızlığı da hesaba katarak, Ders Kitabı'nın yayınlanmasında kamu yararı bulunup bulunmadığını da kendine sormuştur. Mahkeme başvurucunun, "söz konusu eserin yayınlanmasında kamu yararı bulunduğunu gösterme yükümlülüğünü" yerine getirmediği sonucuna varmıştır.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5. Gözden Geçirilmiş Baskı ile ilgili diğer ayrıntılar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35. </w:t>
            </w:r>
            <w:r w:rsidRPr="00B4242B">
              <w:rPr>
                <w:rFonts w:ascii="Verdana" w:eastAsia="Times New Roman" w:hAnsi="Verdana" w:cs="Times New Roman"/>
                <w:sz w:val="18"/>
                <w:szCs w:val="18"/>
                <w:lang w:eastAsia="tr-TR"/>
              </w:rPr>
              <w:t>29 Ekim 1971 tarihli kararda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30 ve 31</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Ders Kitabı'nın ilk baskısındaki ‘</w:t>
            </w:r>
            <w:proofErr w:type="spellStart"/>
            <w:r w:rsidRPr="00B4242B">
              <w:rPr>
                <w:rFonts w:ascii="Verdana" w:eastAsia="Times New Roman" w:hAnsi="Verdana" w:cs="Times New Roman"/>
                <w:sz w:val="18"/>
                <w:szCs w:val="18"/>
                <w:lang w:eastAsia="tr-TR"/>
              </w:rPr>
              <w:t>aşırı’lığı</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yıkıcı’lığı</w:t>
            </w:r>
            <w:proofErr w:type="spellEnd"/>
            <w:r w:rsidRPr="00B4242B">
              <w:rPr>
                <w:rFonts w:ascii="Verdana" w:eastAsia="Times New Roman" w:hAnsi="Verdana" w:cs="Times New Roman"/>
                <w:sz w:val="18"/>
                <w:szCs w:val="18"/>
                <w:lang w:eastAsia="tr-TR"/>
              </w:rPr>
              <w:t xml:space="preserve"> vurgulanan pasajlar, 15 Kasım 1971'den önce hazırlandığı halde ancak bu tarihte yayınlanan </w:t>
            </w:r>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22 ve 23</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gözden geçirilmiş baskı da hemen hemen hiç değiştirilmeden ya da önemsiz değişikliklerle aynen yer almıştır.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mahkemesinin baştan çıkarma ve ayartma eğiliminin çarpıcı örneği olarak alıntı yaptığı pasajlardan biri (s.77:"Kendi Başınıza")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32)</w:t>
            </w:r>
            <w:r w:rsidRPr="00B4242B">
              <w:rPr>
                <w:rFonts w:ascii="Verdana" w:eastAsia="Times New Roman" w:hAnsi="Verdana" w:cs="Times New Roman"/>
                <w:sz w:val="18"/>
                <w:szCs w:val="18"/>
                <w:lang w:eastAsia="tr-TR"/>
              </w:rPr>
              <w:t> değiştirilmemiştir. Öte yandan, diğer bölümler (s.97-98, "Sevişme ve Cinsel ilişki" ve s.103-105, "pornografi") oldukça yumuşatılmış ve on altı yaşından küçük kızlarla cinsel ilişkinin yasadışı olduğu ifadesi kitabın 95. sayfasında yer almıştır.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Gözden geçirilmiş baskıda gebeliği önleyici araçların okullarda satışa konulmasına ilişkin bir ifade artık yer almamakta ve 106. sayfasında eşcinsel ilişkilerin daha çok geçici olduğu belirtilmektedir.</w:t>
            </w:r>
          </w:p>
          <w:p w:rsidR="00B4242B" w:rsidRPr="00B4242B" w:rsidRDefault="00B4242B" w:rsidP="00B4242B">
            <w:pPr>
              <w:spacing w:before="100" w:beforeAutospacing="1" w:after="100" w:afterAutospacing="1" w:line="240" w:lineRule="auto"/>
              <w:jc w:val="center"/>
              <w:outlineLvl w:val="0"/>
              <w:rPr>
                <w:rFonts w:ascii="Verdana" w:eastAsia="Times New Roman" w:hAnsi="Verdana" w:cs="Times New Roman"/>
                <w:b/>
                <w:bCs/>
                <w:kern w:val="36"/>
                <w:sz w:val="36"/>
                <w:szCs w:val="36"/>
                <w:lang w:eastAsia="tr-TR"/>
              </w:rPr>
            </w:pPr>
            <w:r w:rsidRPr="00B4242B">
              <w:rPr>
                <w:rFonts w:ascii="Verdana" w:eastAsia="Times New Roman" w:hAnsi="Verdana" w:cs="Times New Roman"/>
                <w:b/>
                <w:bCs/>
                <w:kern w:val="36"/>
                <w:sz w:val="36"/>
                <w:szCs w:val="36"/>
                <w:lang w:eastAsia="tr-TR"/>
              </w:rPr>
              <w:t>KOMİSYON’DAKİ YARGILAMA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36. 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xml:space="preserve"> 13 Aralık 1972 tarihinde Komisyon’a yaptığı başvuruda, Birleşik </w:t>
            </w:r>
            <w:proofErr w:type="spellStart"/>
            <w:r w:rsidRPr="00B4242B">
              <w:rPr>
                <w:rFonts w:ascii="Verdana" w:eastAsia="Times New Roman" w:hAnsi="Verdana" w:cs="Times New Roman"/>
                <w:sz w:val="18"/>
                <w:szCs w:val="18"/>
                <w:lang w:eastAsia="tr-TR"/>
              </w:rPr>
              <w:t>Krallık'ta</w:t>
            </w:r>
            <w:proofErr w:type="spellEnd"/>
            <w:r w:rsidRPr="00B4242B">
              <w:rPr>
                <w:rFonts w:ascii="Verdana" w:eastAsia="Times New Roman" w:hAnsi="Verdana" w:cs="Times New Roman"/>
                <w:sz w:val="18"/>
                <w:szCs w:val="18"/>
                <w:lang w:eastAsia="tr-TR"/>
              </w:rPr>
              <w:t xml:space="preserve"> kendisi ve Ders Kitabı hakkında açılan davanın, Sözleşme’nin 9. maddesindeki düşünce, vicdan ve inanç özgürlüğüne, Sözleşme’nin 10. maddesindeki ifade özgürlüğüne ve Birinci Protokolün 1. maddesindeki mülkiyeti barışçıl yoldan kullanma hakkına aykırı olduğunu iddia etmiştir.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xml:space="preserve"> Birleşik Krallığın ayrıca, Sözleşme’nin 14. maddesine aykırı olarak bu hakları siyasal veya başka türdeki görüşleri hiçbir ayrım yapmaksızın güvence altına alma yükümlüğünü yerine getirmediğini; hakkında açılan davanın, Sözleşme’nin 7. maddesine aykırı olduğunu; son olarak, davalı Hükümetin Sözleşme’nin 1 ve 13. maddelerini de ihlal ettiğini ileri sürmüştür.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söz konusu dava nedeniyle uğradığı 14 bin 184 Pound tutarındaki miktarı belli zararlarının ve miktarı belli olmayan diğer zararlarının ve kayıplarının dökümünü yapmıştır.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37. </w:t>
            </w:r>
            <w:r w:rsidRPr="00B4242B">
              <w:rPr>
                <w:rFonts w:ascii="Verdana" w:eastAsia="Times New Roman" w:hAnsi="Verdana" w:cs="Times New Roman"/>
                <w:sz w:val="18"/>
                <w:szCs w:val="18"/>
                <w:lang w:eastAsia="tr-TR"/>
              </w:rPr>
              <w:t xml:space="preserve">Komisyon, 4 Nisan 1974 tarihli kararında bu iddialardan, Sözleşme’nin 10. maddesi ve Birinci Protokolün 1. maddesiyle ilgili kısımlarını </w:t>
            </w:r>
            <w:proofErr w:type="spellStart"/>
            <w:r w:rsidRPr="00B4242B">
              <w:rPr>
                <w:rFonts w:ascii="Verdana" w:eastAsia="Times New Roman" w:hAnsi="Verdana" w:cs="Times New Roman"/>
                <w:sz w:val="18"/>
                <w:szCs w:val="18"/>
                <w:lang w:eastAsia="tr-TR"/>
              </w:rPr>
              <w:t>kabuledilebilir</w:t>
            </w:r>
            <w:proofErr w:type="spellEnd"/>
            <w:r w:rsidRPr="00B4242B">
              <w:rPr>
                <w:rFonts w:ascii="Verdana" w:eastAsia="Times New Roman" w:hAnsi="Verdana" w:cs="Times New Roman"/>
                <w:sz w:val="18"/>
                <w:szCs w:val="18"/>
                <w:lang w:eastAsia="tr-TR"/>
              </w:rPr>
              <w:t xml:space="preserve"> bulmuş; ancak Sözleşme’nin 1, 7, 9, 13 ve 14. maddeleriyle ilgili kısmının </w:t>
            </w:r>
            <w:proofErr w:type="spellStart"/>
            <w:r w:rsidRPr="00B4242B">
              <w:rPr>
                <w:rFonts w:ascii="Verdana" w:eastAsia="Times New Roman" w:hAnsi="Verdana" w:cs="Times New Roman"/>
                <w:sz w:val="18"/>
                <w:szCs w:val="18"/>
                <w:lang w:eastAsia="tr-TR"/>
              </w:rPr>
              <w:t>kabuledilemez</w:t>
            </w:r>
            <w:proofErr w:type="spellEnd"/>
            <w:r w:rsidRPr="00B4242B">
              <w:rPr>
                <w:rFonts w:ascii="Verdana" w:eastAsia="Times New Roman" w:hAnsi="Verdana" w:cs="Times New Roman"/>
                <w:sz w:val="18"/>
                <w:szCs w:val="18"/>
                <w:lang w:eastAsia="tr-TR"/>
              </w:rPr>
              <w:t xml:space="preserve"> olduğunu beyan etmiştir. Aynı gün, Sözleşme’nin 17 ve 18. maddeleri çerçevesinde, davanın koşullarından doğabilecek her hangi bir sorunu da </w:t>
            </w:r>
            <w:proofErr w:type="spellStart"/>
            <w:r w:rsidRPr="00B4242B">
              <w:rPr>
                <w:rFonts w:ascii="Verdana" w:eastAsia="Times New Roman" w:hAnsi="Verdana" w:cs="Times New Roman"/>
                <w:sz w:val="18"/>
                <w:szCs w:val="18"/>
                <w:lang w:eastAsia="tr-TR"/>
              </w:rPr>
              <w:t>re'sen</w:t>
            </w:r>
            <w:proofErr w:type="spellEnd"/>
            <w:r w:rsidRPr="00B4242B">
              <w:rPr>
                <w:rFonts w:ascii="Verdana" w:eastAsia="Times New Roman" w:hAnsi="Verdana" w:cs="Times New Roman"/>
                <w:sz w:val="18"/>
                <w:szCs w:val="18"/>
                <w:lang w:eastAsia="tr-TR"/>
              </w:rPr>
              <w:t>(</w:t>
            </w:r>
            <w:proofErr w:type="spellStart"/>
            <w:r w:rsidRPr="00B4242B">
              <w:rPr>
                <w:rFonts w:ascii="Verdana" w:eastAsia="Times New Roman" w:hAnsi="Verdana" w:cs="Times New Roman"/>
                <w:sz w:val="18"/>
                <w:szCs w:val="18"/>
                <w:lang w:eastAsia="tr-TR"/>
              </w:rPr>
              <w:t>ex</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officio</w:t>
            </w:r>
            <w:proofErr w:type="spellEnd"/>
            <w:r w:rsidRPr="00B4242B">
              <w:rPr>
                <w:rFonts w:ascii="Verdana" w:eastAsia="Times New Roman" w:hAnsi="Verdana" w:cs="Times New Roman"/>
                <w:sz w:val="18"/>
                <w:szCs w:val="18"/>
                <w:lang w:eastAsia="tr-TR"/>
              </w:rPr>
              <w:t xml:space="preserve">) incelemeye karar </w:t>
            </w:r>
            <w:proofErr w:type="gramStart"/>
            <w:r w:rsidRPr="00B4242B">
              <w:rPr>
                <w:rFonts w:ascii="Verdana" w:eastAsia="Times New Roman" w:hAnsi="Verdana" w:cs="Times New Roman"/>
                <w:sz w:val="18"/>
                <w:szCs w:val="18"/>
                <w:lang w:eastAsia="tr-TR"/>
              </w:rPr>
              <w:t>vermiş,</w:t>
            </w:r>
            <w:proofErr w:type="gramEnd"/>
            <w:r w:rsidRPr="00B4242B">
              <w:rPr>
                <w:rFonts w:ascii="Verdana" w:eastAsia="Times New Roman" w:hAnsi="Verdana" w:cs="Times New Roman"/>
                <w:sz w:val="18"/>
                <w:szCs w:val="18"/>
                <w:lang w:eastAsia="tr-TR"/>
              </w:rPr>
              <w:t xml:space="preserve"> ve bunu bir kaç gün sonra taraflara bildirmiştir.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38. </w:t>
            </w:r>
            <w:r w:rsidRPr="00B4242B">
              <w:rPr>
                <w:rFonts w:ascii="Verdana" w:eastAsia="Times New Roman" w:hAnsi="Verdana" w:cs="Times New Roman"/>
                <w:sz w:val="18"/>
                <w:szCs w:val="18"/>
                <w:lang w:eastAsia="tr-TR"/>
              </w:rPr>
              <w:t>Komisyon, 30 Eylül 1975 tarihli raporunda: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Bir çekimser ve beş muhalif oya karşılık sekiz oyla, Sözleşme’nin 10. maddesine aykırılık bulunmadığına;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Ders Kitabı'na geçici el koymanın (on bir oyla), ve kitap üzerindeki hak kaybının ve kitabın imhasının (bir çekimser ve dört muhalif oya karşılık dokuz oyla) Birinci Protokolün 1. maddesine aykırı olmadığına;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 İki çekimser oya karşılık on iki oyla, Sözleşme’nin 17. maddesine giren bir sorunu tartışmanın gereksiz olduğuna;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Oybirliği ile Sözleşme’nin 18. maddesine aykırılık bulunmadığına,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sz w:val="18"/>
                <w:szCs w:val="18"/>
                <w:lang w:eastAsia="tr-TR"/>
              </w:rPr>
              <w:t>dair</w:t>
            </w:r>
            <w:proofErr w:type="gramEnd"/>
            <w:r w:rsidRPr="00B4242B">
              <w:rPr>
                <w:rFonts w:ascii="Verdana" w:eastAsia="Times New Roman" w:hAnsi="Verdana" w:cs="Times New Roman"/>
                <w:sz w:val="18"/>
                <w:szCs w:val="18"/>
                <w:lang w:eastAsia="tr-TR"/>
              </w:rPr>
              <w:t xml:space="preserve"> görüşünü açıklamıştır.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Rapor, çeşitli ayrık görüşleri de kapsamaktadır.</w:t>
            </w:r>
          </w:p>
          <w:p w:rsidR="00B4242B" w:rsidRPr="00B4242B" w:rsidRDefault="00B4242B" w:rsidP="00B4242B">
            <w:pPr>
              <w:spacing w:before="100" w:beforeAutospacing="1" w:after="100" w:afterAutospacing="1" w:line="240" w:lineRule="auto"/>
              <w:jc w:val="center"/>
              <w:outlineLvl w:val="0"/>
              <w:rPr>
                <w:rFonts w:ascii="Verdana" w:eastAsia="Times New Roman" w:hAnsi="Verdana" w:cs="Times New Roman"/>
                <w:b/>
                <w:bCs/>
                <w:kern w:val="36"/>
                <w:sz w:val="36"/>
                <w:szCs w:val="36"/>
                <w:lang w:eastAsia="tr-TR"/>
              </w:rPr>
            </w:pPr>
            <w:r w:rsidRPr="00B4242B">
              <w:rPr>
                <w:rFonts w:ascii="Verdana" w:eastAsia="Times New Roman" w:hAnsi="Verdana" w:cs="Times New Roman"/>
                <w:b/>
                <w:bCs/>
                <w:kern w:val="36"/>
                <w:sz w:val="36"/>
                <w:szCs w:val="36"/>
                <w:lang w:eastAsia="tr-TR"/>
              </w:rPr>
              <w:t>MAHKEME’DEN SON TALEPLER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39. </w:t>
            </w:r>
            <w:r w:rsidRPr="00B4242B">
              <w:rPr>
                <w:rFonts w:ascii="Verdana" w:eastAsia="Times New Roman" w:hAnsi="Verdana" w:cs="Times New Roman"/>
                <w:sz w:val="18"/>
                <w:szCs w:val="18"/>
                <w:lang w:eastAsia="tr-TR"/>
              </w:rPr>
              <w:t>7 Haziran 1976 tarihli duruşmada, Mahkeme’den aşağıdaki son taleplerde bulunulmuştur.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Komisyon Mahkeme’den,</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(1) Başvurucuya karşı, Küçük Kırmızı Ders Kitabı'na el konulması ve müsadere </w:t>
            </w:r>
            <w:proofErr w:type="gramStart"/>
            <w:r w:rsidRPr="00B4242B">
              <w:rPr>
                <w:rFonts w:ascii="Verdana" w:eastAsia="Times New Roman" w:hAnsi="Verdana" w:cs="Times New Roman"/>
                <w:sz w:val="18"/>
                <w:szCs w:val="18"/>
                <w:lang w:eastAsia="tr-TR"/>
              </w:rPr>
              <w:t>edilmesi,</w:t>
            </w:r>
            <w:proofErr w:type="gramEnd"/>
            <w:r w:rsidRPr="00B4242B">
              <w:rPr>
                <w:rFonts w:ascii="Verdana" w:eastAsia="Times New Roman" w:hAnsi="Verdana" w:cs="Times New Roman"/>
                <w:sz w:val="18"/>
                <w:szCs w:val="18"/>
                <w:lang w:eastAsia="tr-TR"/>
              </w:rPr>
              <w:t xml:space="preserve"> ve bu kitabın yayıncısı olan başvurucunun para cezası ve masrafları ödemeye mahkum edilmesi sonucunu doğuran Birleşik </w:t>
            </w:r>
            <w:proofErr w:type="spellStart"/>
            <w:r w:rsidRPr="00B4242B">
              <w:rPr>
                <w:rFonts w:ascii="Verdana" w:eastAsia="Times New Roman" w:hAnsi="Verdana" w:cs="Times New Roman"/>
                <w:sz w:val="18"/>
                <w:szCs w:val="18"/>
                <w:lang w:eastAsia="tr-TR"/>
              </w:rPr>
              <w:t>Krallık’taki</w:t>
            </w:r>
            <w:proofErr w:type="spellEnd"/>
            <w:r w:rsidRPr="00B4242B">
              <w:rPr>
                <w:rFonts w:ascii="Verdana" w:eastAsia="Times New Roman" w:hAnsi="Verdana" w:cs="Times New Roman"/>
                <w:sz w:val="18"/>
                <w:szCs w:val="18"/>
                <w:lang w:eastAsia="tr-TR"/>
              </w:rPr>
              <w:t xml:space="preserve"> davanın, </w:t>
            </w:r>
            <w:proofErr w:type="spellStart"/>
            <w:r w:rsidRPr="00B4242B">
              <w:rPr>
                <w:rFonts w:ascii="Verdana" w:eastAsia="Times New Roman" w:hAnsi="Verdana" w:cs="Times New Roman"/>
                <w:sz w:val="18"/>
                <w:szCs w:val="18"/>
                <w:lang w:eastAsia="tr-TR"/>
              </w:rPr>
              <w:t>Sözleşme’ye</w:t>
            </w:r>
            <w:proofErr w:type="spellEnd"/>
            <w:r w:rsidRPr="00B4242B">
              <w:rPr>
                <w:rFonts w:ascii="Verdana" w:eastAsia="Times New Roman" w:hAnsi="Verdana" w:cs="Times New Roman"/>
                <w:sz w:val="18"/>
                <w:szCs w:val="18"/>
                <w:lang w:eastAsia="tr-TR"/>
              </w:rPr>
              <w:t>, özellikle de 10. maddesine ve Birinci Protokolün 1. maddesine aykırı olup olmadığı,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(2) eğer ayrılık varsa, Sözleşme’nin 50. maddesine göre başvurucuya, niteliği ve miktarı Mahkeme tarafından belirlenecek adil bir karşılık ödenmesinin gerekip gerekmediği konusunda,</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sz w:val="18"/>
                <w:szCs w:val="18"/>
                <w:lang w:eastAsia="tr-TR"/>
              </w:rPr>
              <w:t>karar</w:t>
            </w:r>
            <w:proofErr w:type="gram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vermesi'ni</w:t>
            </w:r>
            <w:proofErr w:type="spellEnd"/>
            <w:r w:rsidRPr="00B4242B">
              <w:rPr>
                <w:rFonts w:ascii="Verdana" w:eastAsia="Times New Roman" w:hAnsi="Verdana" w:cs="Times New Roman"/>
                <w:sz w:val="18"/>
                <w:szCs w:val="18"/>
                <w:lang w:eastAsia="tr-TR"/>
              </w:rPr>
              <w:t xml:space="preserve"> istemiştir.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Hükümet ise şöyle demiştir.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Birleşik Krallık Hükümeti olarak, Komisyon temsilcilerinin yaptığı nihai sunuşlar dikkate alındığında, Mahkeme’nin birinci nokta ile ilgili olarak özellikle bu konuda bir aykırılık bulunmadığına karar vermesini talep ederiz.</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İkinci konu ile ilgili </w:t>
            </w:r>
            <w:proofErr w:type="gramStart"/>
            <w:r w:rsidRPr="00B4242B">
              <w:rPr>
                <w:rFonts w:ascii="Verdana" w:eastAsia="Times New Roman" w:hAnsi="Verdana" w:cs="Times New Roman"/>
                <w:sz w:val="18"/>
                <w:szCs w:val="18"/>
                <w:lang w:eastAsia="tr-TR"/>
              </w:rPr>
              <w:t>olarak ...</w:t>
            </w:r>
            <w:proofErr w:type="gramEnd"/>
            <w:r w:rsidRPr="00B4242B">
              <w:rPr>
                <w:rFonts w:ascii="Verdana" w:eastAsia="Times New Roman" w:hAnsi="Verdana" w:cs="Times New Roman"/>
                <w:sz w:val="18"/>
                <w:szCs w:val="18"/>
                <w:lang w:eastAsia="tr-TR"/>
              </w:rPr>
              <w:t xml:space="preserve"> Mahkeme’nin bu aşamada adil bir karşılık ödenmesine karar verme durumunda olmadığını ve konunun bu aşamada ele alınmasının tamamıyla erken olacağını söyleyebiliriz. Birinci konudaki nihai sunuşumuz haklı bulunduğu takdirde, ikinci konu ele alınmayacaktır; tersi durumda, ikinci konu hakkında başkaca dayanak sunma olanağı sağlanmalıdır.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40. </w:t>
            </w:r>
            <w:r w:rsidRPr="00B4242B">
              <w:rPr>
                <w:rFonts w:ascii="Verdana" w:eastAsia="Times New Roman" w:hAnsi="Verdana" w:cs="Times New Roman"/>
                <w:sz w:val="18"/>
                <w:szCs w:val="18"/>
                <w:lang w:eastAsia="tr-TR"/>
              </w:rPr>
              <w:t>Komisyon Temsilcisi, Hükümet temsilcisinin bir gözlemine yanıt olarak, 'özellikle' sözcüğünü kullanırken, Mahkeme tarafından ele alınabilecek iki maddeye işaret etmek istediğini ifade etmiştir.</w:t>
            </w:r>
          </w:p>
          <w:p w:rsidR="00B4242B" w:rsidRPr="00B4242B" w:rsidRDefault="00B4242B" w:rsidP="00B4242B">
            <w:pPr>
              <w:spacing w:before="100" w:beforeAutospacing="1" w:after="100" w:afterAutospacing="1" w:line="240" w:lineRule="auto"/>
              <w:jc w:val="center"/>
              <w:outlineLvl w:val="0"/>
              <w:rPr>
                <w:rFonts w:ascii="Verdana" w:eastAsia="Times New Roman" w:hAnsi="Verdana" w:cs="Times New Roman"/>
                <w:b/>
                <w:bCs/>
                <w:kern w:val="36"/>
                <w:sz w:val="36"/>
                <w:szCs w:val="36"/>
                <w:lang w:eastAsia="tr-TR"/>
              </w:rPr>
            </w:pPr>
            <w:r w:rsidRPr="00B4242B">
              <w:rPr>
                <w:rFonts w:ascii="Verdana" w:eastAsia="Times New Roman" w:hAnsi="Verdana" w:cs="Times New Roman"/>
                <w:b/>
                <w:bCs/>
                <w:kern w:val="36"/>
                <w:sz w:val="36"/>
                <w:szCs w:val="36"/>
                <w:lang w:eastAsia="tr-TR"/>
              </w:rPr>
              <w:t>KARAR GEREKÇESİ</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41. </w:t>
            </w:r>
            <w:r w:rsidRPr="00B4242B">
              <w:rPr>
                <w:rFonts w:ascii="Verdana" w:eastAsia="Times New Roman" w:hAnsi="Verdana" w:cs="Times New Roman"/>
                <w:sz w:val="18"/>
                <w:szCs w:val="18"/>
                <w:lang w:eastAsia="tr-TR"/>
              </w:rPr>
              <w:t xml:space="preserve">Komisyon, davanın esası ve </w:t>
            </w:r>
            <w:proofErr w:type="spellStart"/>
            <w:r w:rsidRPr="00B4242B">
              <w:rPr>
                <w:rFonts w:ascii="Verdana" w:eastAsia="Times New Roman" w:hAnsi="Verdana" w:cs="Times New Roman"/>
                <w:sz w:val="18"/>
                <w:szCs w:val="18"/>
                <w:lang w:eastAsia="tr-TR"/>
              </w:rPr>
              <w:t>kabuledilebilirliği</w:t>
            </w:r>
            <w:proofErr w:type="spellEnd"/>
            <w:r w:rsidRPr="00B4242B">
              <w:rPr>
                <w:rFonts w:ascii="Verdana" w:eastAsia="Times New Roman" w:hAnsi="Verdana" w:cs="Times New Roman"/>
                <w:sz w:val="18"/>
                <w:szCs w:val="18"/>
                <w:lang w:eastAsia="tr-TR"/>
              </w:rPr>
              <w:t xml:space="preserve"> hakkında, tarafların hazır bulunduğu bir duruşmadan sonra, 4 Nisan 1974'te, </w:t>
            </w: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başvurusunun Sözleşme’nin 10. maddesi ve Birinci Protokolün 1. maddesiyle ilgili olan bölümünü kabul etmiş, Sözleşme’nin 1, 7, 9, 13. ve 14. maddelerinin uygulanması talebinin ise </w:t>
            </w:r>
            <w:proofErr w:type="spellStart"/>
            <w:r w:rsidRPr="00B4242B">
              <w:rPr>
                <w:rFonts w:ascii="Verdana" w:eastAsia="Times New Roman" w:hAnsi="Verdana" w:cs="Times New Roman"/>
                <w:sz w:val="18"/>
                <w:szCs w:val="18"/>
                <w:lang w:eastAsia="tr-TR"/>
              </w:rPr>
              <w:t>kabuledilemez</w:t>
            </w:r>
            <w:proofErr w:type="spellEnd"/>
            <w:r w:rsidRPr="00B4242B">
              <w:rPr>
                <w:rFonts w:ascii="Verdana" w:eastAsia="Times New Roman" w:hAnsi="Verdana" w:cs="Times New Roman"/>
                <w:sz w:val="18"/>
                <w:szCs w:val="18"/>
                <w:lang w:eastAsia="tr-TR"/>
              </w:rPr>
              <w:t xml:space="preserve"> olduğunu açıklamıştır. Komisyon bir kaç gün sonra, Sözleşme’nin 17. ve 18. maddelerini de ele alacağını taraflara bildirmiştir. Ancak Komisyon 30 Eylül 1975 tarihli raporunda </w:t>
            </w:r>
            <w:proofErr w:type="gramStart"/>
            <w:r w:rsidRPr="00B4242B">
              <w:rPr>
                <w:rFonts w:ascii="Verdana" w:eastAsia="Times New Roman" w:hAnsi="Verdana" w:cs="Times New Roman"/>
                <w:sz w:val="18"/>
                <w:szCs w:val="18"/>
                <w:lang w:eastAsia="tr-TR"/>
              </w:rPr>
              <w:t>(</w:t>
            </w:r>
            <w:proofErr w:type="spellStart"/>
            <w:proofErr w:type="gramEnd"/>
            <w:r w:rsidRPr="00B4242B">
              <w:rPr>
                <w:rFonts w:ascii="Verdana" w:eastAsia="Times New Roman" w:hAnsi="Verdana" w:cs="Times New Roman"/>
                <w:sz w:val="18"/>
                <w:szCs w:val="18"/>
                <w:lang w:eastAsia="tr-TR"/>
              </w:rPr>
              <w:t>parag</w:t>
            </w:r>
            <w:proofErr w:type="spellEnd"/>
            <w:r w:rsidRPr="00B4242B">
              <w:rPr>
                <w:rFonts w:ascii="Verdana" w:eastAsia="Times New Roman" w:hAnsi="Verdana" w:cs="Times New Roman"/>
                <w:sz w:val="18"/>
                <w:szCs w:val="18"/>
                <w:lang w:eastAsia="tr-TR"/>
              </w:rPr>
              <w:t>. 170 ve 176</w:t>
            </w:r>
            <w:proofErr w:type="gramStart"/>
            <w:r w:rsidRPr="00B4242B">
              <w:rPr>
                <w:rFonts w:ascii="Verdana" w:eastAsia="Times New Roman" w:hAnsi="Verdana" w:cs="Times New Roman"/>
                <w:sz w:val="18"/>
                <w:szCs w:val="18"/>
                <w:lang w:eastAsia="tr-TR"/>
              </w:rPr>
              <w:t>)</w:t>
            </w:r>
            <w:proofErr w:type="gramEnd"/>
            <w:r w:rsidRPr="00B4242B">
              <w:rPr>
                <w:rFonts w:ascii="Verdana" w:eastAsia="Times New Roman" w:hAnsi="Verdana" w:cs="Times New Roman"/>
                <w:sz w:val="18"/>
                <w:szCs w:val="18"/>
                <w:lang w:eastAsia="tr-TR"/>
              </w:rPr>
              <w:t>, başvurucu ve Hükümet ile mutabık kalarak (</w:t>
            </w:r>
            <w:proofErr w:type="spellStart"/>
            <w:r w:rsidRPr="00B4242B">
              <w:rPr>
                <w:rFonts w:ascii="Verdana" w:eastAsia="Times New Roman" w:hAnsi="Verdana" w:cs="Times New Roman"/>
                <w:sz w:val="18"/>
                <w:szCs w:val="18"/>
                <w:lang w:eastAsia="tr-TR"/>
              </w:rPr>
              <w:t>parag</w:t>
            </w:r>
            <w:proofErr w:type="spellEnd"/>
            <w:r w:rsidRPr="00B4242B">
              <w:rPr>
                <w:rFonts w:ascii="Verdana" w:eastAsia="Times New Roman" w:hAnsi="Verdana" w:cs="Times New Roman"/>
                <w:sz w:val="18"/>
                <w:szCs w:val="18"/>
                <w:lang w:eastAsia="tr-TR"/>
              </w:rPr>
              <w:t>. 92 ve 128</w:t>
            </w:r>
            <w:proofErr w:type="gramStart"/>
            <w:r w:rsidRPr="00B4242B">
              <w:rPr>
                <w:rFonts w:ascii="Verdana" w:eastAsia="Times New Roman" w:hAnsi="Verdana" w:cs="Times New Roman"/>
                <w:sz w:val="18"/>
                <w:szCs w:val="18"/>
                <w:lang w:eastAsia="tr-TR"/>
              </w:rPr>
              <w:t>)</w:t>
            </w:r>
            <w:proofErr w:type="gramEnd"/>
            <w:r w:rsidRPr="00B4242B">
              <w:rPr>
                <w:rFonts w:ascii="Verdana" w:eastAsia="Times New Roman" w:hAnsi="Verdana" w:cs="Times New Roman"/>
                <w:sz w:val="18"/>
                <w:szCs w:val="18"/>
                <w:lang w:eastAsia="tr-TR"/>
              </w:rPr>
              <w:t>, bu davada 17. maddenin uygulanamayacağı görüşünü ifade etmiştir.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Komisyon temsilcisi, Mahkeme’nin sorduğu bir soruya karşılık verdiği yanıtta, 4 Nisan 1974'te </w:t>
            </w:r>
            <w:proofErr w:type="spellStart"/>
            <w:r w:rsidRPr="00B4242B">
              <w:rPr>
                <w:rFonts w:ascii="Verdana" w:eastAsia="Times New Roman" w:hAnsi="Verdana" w:cs="Times New Roman"/>
                <w:sz w:val="18"/>
                <w:szCs w:val="18"/>
                <w:lang w:eastAsia="tr-TR"/>
              </w:rPr>
              <w:t>kabuledilemez</w:t>
            </w:r>
            <w:proofErr w:type="spellEnd"/>
            <w:r w:rsidRPr="00B4242B">
              <w:rPr>
                <w:rFonts w:ascii="Verdana" w:eastAsia="Times New Roman" w:hAnsi="Verdana" w:cs="Times New Roman"/>
                <w:sz w:val="18"/>
                <w:szCs w:val="18"/>
                <w:lang w:eastAsia="tr-TR"/>
              </w:rPr>
              <w:t xml:space="preserve"> bulunan iddiaların (Sözleşme’nin 1, 7, 9, 13. ve 14. maddeleri) Sözleşme’nin 10. maddesi ve Birinci Protokolün 1. maddesi hakkındaki iddiaların dayanağı olan aynı olaylarla ilgili olduğu belirtmiştir. O nedenle, bunlar birbirinden ayrı iddialar değil, fakat sadece diğerleri ile birlikte ileri sürülen hukuki sunuşlar ve dayanaklardır. Bununla birlikte, Sözleşme ve Protokol hükümleri bir bütün oluşturur; bir dava, usulüne uygun olarak bir kez Mahkeme önüne gelince, Mahkeme bu davanın görülmesi sırasında ve Sözleşmeci Devlet veya incelenmesi için Komisyon tarafından kendisine sunulan vakıalarla ilgili her türlü hukuki sorunu dinleyebilir. Mahkeme, bu olayların hukuki nitelendirmesini yaparken, eğer Sözleşme ve Protokolün bütünlüğü içinde gerekli görürse veya ihtiyaç varsa meseleleri </w:t>
            </w:r>
            <w:proofErr w:type="spellStart"/>
            <w:r w:rsidRPr="00B4242B">
              <w:rPr>
                <w:rFonts w:ascii="Verdana" w:eastAsia="Times New Roman" w:hAnsi="Verdana" w:cs="Times New Roman"/>
                <w:sz w:val="18"/>
                <w:szCs w:val="18"/>
                <w:lang w:eastAsia="tr-TR"/>
              </w:rPr>
              <w:t>re'sen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ex</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officio</w:t>
            </w:r>
            <w:proofErr w:type="spellEnd"/>
            <w:r w:rsidRPr="00B4242B">
              <w:rPr>
                <w:rFonts w:ascii="Verdana" w:eastAsia="Times New Roman" w:hAnsi="Verdana" w:cs="Times New Roman"/>
                <w:sz w:val="18"/>
                <w:szCs w:val="18"/>
                <w:lang w:eastAsia="tr-TR"/>
              </w:rPr>
              <w:t>) incelemekle yetkilidir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Belçika’da Eğitim Dili Davası (Esas </w:t>
            </w:r>
            <w:proofErr w:type="spellStart"/>
            <w:r w:rsidRPr="00B4242B">
              <w:rPr>
                <w:rFonts w:ascii="Verdana" w:eastAsia="Times New Roman" w:hAnsi="Verdana" w:cs="Times New Roman"/>
                <w:i/>
                <w:iCs/>
                <w:sz w:val="18"/>
                <w:szCs w:val="18"/>
                <w:lang w:eastAsia="tr-TR"/>
              </w:rPr>
              <w:t>hk</w:t>
            </w:r>
            <w:proofErr w:type="spellEnd"/>
            <w:r w:rsidRPr="00B4242B">
              <w:rPr>
                <w:rFonts w:ascii="Verdana" w:eastAsia="Times New Roman" w:hAnsi="Verdana" w:cs="Times New Roman"/>
                <w:i/>
                <w:iCs/>
                <w:sz w:val="18"/>
                <w:szCs w:val="18"/>
                <w:lang w:eastAsia="tr-TR"/>
              </w:rPr>
              <w:t xml:space="preserve">),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w:t>
            </w:r>
            <w:proofErr w:type="gramStart"/>
            <w:r w:rsidRPr="00B4242B">
              <w:rPr>
                <w:rFonts w:ascii="Verdana" w:eastAsia="Times New Roman" w:hAnsi="Verdana" w:cs="Times New Roman"/>
                <w:i/>
                <w:iCs/>
                <w:sz w:val="18"/>
                <w:szCs w:val="18"/>
                <w:lang w:eastAsia="tr-TR"/>
              </w:rPr>
              <w:t>1;</w:t>
            </w:r>
            <w:proofErr w:type="gramEnd"/>
            <w:r w:rsidRPr="00B4242B">
              <w:rPr>
                <w:rFonts w:ascii="Verdana" w:eastAsia="Times New Roman" w:hAnsi="Verdana" w:cs="Times New Roman"/>
                <w:i/>
                <w:iCs/>
                <w:sz w:val="18"/>
                <w:szCs w:val="18"/>
                <w:lang w:eastAsia="tr-TR"/>
              </w:rPr>
              <w:t xml:space="preserve"> ve De </w:t>
            </w:r>
            <w:proofErr w:type="spellStart"/>
            <w:r w:rsidRPr="00B4242B">
              <w:rPr>
                <w:rFonts w:ascii="Verdana" w:eastAsia="Times New Roman" w:hAnsi="Verdana" w:cs="Times New Roman"/>
                <w:i/>
                <w:iCs/>
                <w:sz w:val="18"/>
                <w:szCs w:val="18"/>
                <w:lang w:eastAsia="tr-TR"/>
              </w:rPr>
              <w:t>Wilde</w:t>
            </w:r>
            <w:proofErr w:type="spellEnd"/>
            <w:r w:rsidRPr="00B4242B">
              <w:rPr>
                <w:rFonts w:ascii="Verdana" w:eastAsia="Times New Roman" w:hAnsi="Verdana" w:cs="Times New Roman"/>
                <w:i/>
                <w:iCs/>
                <w:sz w:val="18"/>
                <w:szCs w:val="18"/>
                <w:lang w:eastAsia="tr-TR"/>
              </w:rPr>
              <w:t xml:space="preserve">, </w:t>
            </w:r>
            <w:proofErr w:type="spellStart"/>
            <w:r w:rsidRPr="00B4242B">
              <w:rPr>
                <w:rFonts w:ascii="Verdana" w:eastAsia="Times New Roman" w:hAnsi="Verdana" w:cs="Times New Roman"/>
                <w:i/>
                <w:iCs/>
                <w:sz w:val="18"/>
                <w:szCs w:val="18"/>
                <w:lang w:eastAsia="tr-TR"/>
              </w:rPr>
              <w:t>Ooms</w:t>
            </w:r>
            <w:proofErr w:type="spellEnd"/>
            <w:r w:rsidRPr="00B4242B">
              <w:rPr>
                <w:rFonts w:ascii="Verdana" w:eastAsia="Times New Roman" w:hAnsi="Verdana" w:cs="Times New Roman"/>
                <w:i/>
                <w:iCs/>
                <w:sz w:val="18"/>
                <w:szCs w:val="18"/>
                <w:lang w:eastAsia="tr-TR"/>
              </w:rPr>
              <w:t xml:space="preserve"> ve </w:t>
            </w:r>
            <w:proofErr w:type="spellStart"/>
            <w:r w:rsidRPr="00B4242B">
              <w:rPr>
                <w:rFonts w:ascii="Verdana" w:eastAsia="Times New Roman" w:hAnsi="Verdana" w:cs="Times New Roman"/>
                <w:i/>
                <w:iCs/>
                <w:sz w:val="18"/>
                <w:szCs w:val="18"/>
                <w:lang w:eastAsia="tr-TR"/>
              </w:rPr>
              <w:t>Versyp</w:t>
            </w:r>
            <w:proofErr w:type="spellEnd"/>
            <w:r w:rsidRPr="00B4242B">
              <w:rPr>
                <w:rFonts w:ascii="Verdana" w:eastAsia="Times New Roman" w:hAnsi="Verdana" w:cs="Times New Roman"/>
                <w:i/>
                <w:iCs/>
                <w:sz w:val="18"/>
                <w:szCs w:val="18"/>
                <w:lang w:eastAsia="tr-TR"/>
              </w:rPr>
              <w:t xml:space="preserve"> (Esas </w:t>
            </w:r>
            <w:proofErr w:type="spellStart"/>
            <w:r w:rsidRPr="00B4242B">
              <w:rPr>
                <w:rFonts w:ascii="Verdana" w:eastAsia="Times New Roman" w:hAnsi="Verdana" w:cs="Times New Roman"/>
                <w:i/>
                <w:iCs/>
                <w:sz w:val="18"/>
                <w:szCs w:val="18"/>
                <w:lang w:eastAsia="tr-TR"/>
              </w:rPr>
              <w:t>hk</w:t>
            </w:r>
            <w:proofErr w:type="spellEnd"/>
            <w:r w:rsidRPr="00B4242B">
              <w:rPr>
                <w:rFonts w:ascii="Verdana" w:eastAsia="Times New Roman" w:hAnsi="Verdana" w:cs="Times New Roman"/>
                <w:i/>
                <w:iCs/>
                <w:sz w:val="18"/>
                <w:szCs w:val="18"/>
                <w:lang w:eastAsia="tr-TR"/>
              </w:rPr>
              <w:t xml:space="preserve">) ,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49)</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proofErr w:type="spellStart"/>
            <w:r w:rsidRPr="00B4242B">
              <w:rPr>
                <w:rFonts w:ascii="Verdana" w:eastAsia="Times New Roman" w:hAnsi="Verdana" w:cs="Times New Roman"/>
                <w:sz w:val="18"/>
                <w:szCs w:val="18"/>
                <w:lang w:eastAsia="tr-TR"/>
              </w:rPr>
              <w:lastRenderedPageBreak/>
              <w:t>Handyside'ın</w:t>
            </w:r>
            <w:proofErr w:type="spellEnd"/>
            <w:r w:rsidRPr="00B4242B">
              <w:rPr>
                <w:rFonts w:ascii="Verdana" w:eastAsia="Times New Roman" w:hAnsi="Verdana" w:cs="Times New Roman"/>
                <w:sz w:val="18"/>
                <w:szCs w:val="18"/>
                <w:lang w:eastAsia="tr-TR"/>
              </w:rPr>
              <w:t xml:space="preserve"> ilk başvurusu ile beraber, Mahkeme önündeki bazı ifadelerini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diğerleri arasında bk. aşağıda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52 ve 56</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de göz önünde bulunduran Mahkeme, 10 ve 18. maddeler ile Birinci Protokolün 1. maddesine ek olarak, Sözleşme’nin 14. maddesinin de ele alınması gerektiği sonucuna varmıştır. Mahkeme, 1, 7, 9, 13 ve 17. maddelerin bu davayla ilgisi bulunmadığı konusundaki Komisyon görüşüne katılmıştır.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I. Sözleşme’nin 10. maddesinin ihlali iddiası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42. </w:t>
            </w:r>
            <w:r w:rsidRPr="00B4242B">
              <w:rPr>
                <w:rFonts w:ascii="Verdana" w:eastAsia="Times New Roman" w:hAnsi="Verdana" w:cs="Times New Roman"/>
                <w:sz w:val="18"/>
                <w:szCs w:val="18"/>
                <w:lang w:eastAsia="tr-TR"/>
              </w:rPr>
              <w:t>Başvurucu, Sözleşme’nin 10. maddesine aykırılığın mağduru olduğunu iddia etmektedir. Madde şöyle demektedir: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1. Herkes ifade özgürlüğü hakkına sahiptir. Bu hak kamu makamlarının müdahalesiyle karşılaşmadan ve ulusal hudutlarla sınırlanmadan bir görüşe sahip olma, haber ve düşünceleri edinme ve bunları ulaştırma özgürlüğünü de içerir. Bu Madde Devletin radyo yayıncılığını, televizyon ve sinema işletmeciliğini izne bağlamasına engel değildir.</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proofErr w:type="gramStart"/>
            <w:r w:rsidRPr="00B4242B">
              <w:rPr>
                <w:rFonts w:ascii="Verdana" w:eastAsia="Times New Roman" w:hAnsi="Verdana" w:cs="Times New Roman"/>
                <w:sz w:val="18"/>
                <w:szCs w:val="18"/>
                <w:lang w:eastAsia="tr-TR"/>
              </w:rPr>
              <w:t>2. Bu özgürlükleri kullanırken ödev ve sorumluluk içinde hareket edilmesi gerektirdiğinden, ulusal güvenlik, ülke bütünlüğü veya kamu güvenliği, suçun veya düzensizliğin önlenmesi, genel sağlık ve genel ahlakın korunması, başkalarının şeref ve haklarının korunması, gizli bilgilerin açığa vurulmasının önlenmesi, yargı organının otorite ve tarafsızlığının korunması amacıyla, hukukun öngördüğü ve demokratik bir toplumda gerekli olan formalitelere, şartlara, yasaklara ve yaptırımlara tabi tutulabilir.</w:t>
            </w:r>
            <w:proofErr w:type="gramEnd"/>
          </w:p>
          <w:p w:rsidR="00B4242B" w:rsidRPr="00B4242B" w:rsidRDefault="00B4242B" w:rsidP="00B4242B">
            <w:pPr>
              <w:spacing w:before="100" w:beforeAutospacing="1" w:after="100" w:afterAutospacing="1" w:line="240" w:lineRule="auto"/>
              <w:outlineLvl w:val="2"/>
              <w:rPr>
                <w:rFonts w:ascii="Verdana" w:eastAsia="Times New Roman" w:hAnsi="Verdana" w:cs="Times New Roman"/>
                <w:b/>
                <w:bCs/>
                <w:sz w:val="30"/>
                <w:szCs w:val="30"/>
                <w:lang w:eastAsia="tr-TR"/>
              </w:rPr>
            </w:pPr>
            <w:r w:rsidRPr="00B4242B">
              <w:rPr>
                <w:rFonts w:ascii="Verdana" w:eastAsia="Times New Roman" w:hAnsi="Verdana" w:cs="Times New Roman"/>
                <w:b/>
                <w:bCs/>
                <w:sz w:val="30"/>
                <w:szCs w:val="30"/>
                <w:lang w:eastAsia="tr-TR"/>
              </w:rPr>
              <w:t>A. Müdahalenin varlığı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43. </w:t>
            </w:r>
            <w:r w:rsidRPr="00B4242B">
              <w:rPr>
                <w:rFonts w:ascii="Verdana" w:eastAsia="Times New Roman" w:hAnsi="Verdana" w:cs="Times New Roman"/>
                <w:sz w:val="18"/>
                <w:szCs w:val="18"/>
                <w:lang w:eastAsia="tr-TR"/>
              </w:rPr>
              <w:t xml:space="preserve">Başvurucunun cezai </w:t>
            </w:r>
            <w:proofErr w:type="gramStart"/>
            <w:r w:rsidRPr="00B4242B">
              <w:rPr>
                <w:rFonts w:ascii="Verdana" w:eastAsia="Times New Roman" w:hAnsi="Verdana" w:cs="Times New Roman"/>
                <w:sz w:val="18"/>
                <w:szCs w:val="18"/>
                <w:lang w:eastAsia="tr-TR"/>
              </w:rPr>
              <w:t>mahkumiyeti</w:t>
            </w:r>
            <w:proofErr w:type="gramEnd"/>
            <w:r w:rsidRPr="00B4242B">
              <w:rPr>
                <w:rFonts w:ascii="Verdana" w:eastAsia="Times New Roman" w:hAnsi="Verdana" w:cs="Times New Roman"/>
                <w:sz w:val="18"/>
                <w:szCs w:val="18"/>
                <w:lang w:eastAsia="tr-TR"/>
              </w:rPr>
              <w:t xml:space="preserve">, Ders Kitabı'na el koyulması ve ardından kitap üzerinde hak kaybı ve kitabın matrislerinin ve yüzlerce nüshasının imhası gibi itiraz konusu çeşitli tedbirler, Hükümetin de kabul ettiği gibi hiç kuşku yok ki, başvurucunun yukarıdaki maddenin birinci fıkrasında güvence altına alınan ifade özgürlüğünü kullanmasına "kamu makamlarının bir </w:t>
            </w:r>
            <w:proofErr w:type="spellStart"/>
            <w:r w:rsidRPr="00B4242B">
              <w:rPr>
                <w:rFonts w:ascii="Verdana" w:eastAsia="Times New Roman" w:hAnsi="Verdana" w:cs="Times New Roman"/>
                <w:sz w:val="18"/>
                <w:szCs w:val="18"/>
                <w:lang w:eastAsia="tr-TR"/>
              </w:rPr>
              <w:t>müdahalesi"dir</w:t>
            </w:r>
            <w:proofErr w:type="spellEnd"/>
            <w:r w:rsidRPr="00B4242B">
              <w:rPr>
                <w:rFonts w:ascii="Verdana" w:eastAsia="Times New Roman" w:hAnsi="Verdana" w:cs="Times New Roman"/>
                <w:sz w:val="18"/>
                <w:szCs w:val="18"/>
                <w:lang w:eastAsia="tr-TR"/>
              </w:rPr>
              <w:t>. Bu tür müdahaleler (</w:t>
            </w:r>
            <w:proofErr w:type="spellStart"/>
            <w:r w:rsidRPr="00B4242B">
              <w:rPr>
                <w:rFonts w:ascii="Verdana" w:eastAsia="Times New Roman" w:hAnsi="Verdana" w:cs="Times New Roman"/>
                <w:sz w:val="18"/>
                <w:szCs w:val="18"/>
                <w:lang w:eastAsia="tr-TR"/>
              </w:rPr>
              <w:t>interference</w:t>
            </w:r>
            <w:proofErr w:type="spellEnd"/>
            <w:r w:rsidRPr="00B4242B">
              <w:rPr>
                <w:rFonts w:ascii="Verdana" w:eastAsia="Times New Roman" w:hAnsi="Verdana" w:cs="Times New Roman"/>
                <w:sz w:val="18"/>
                <w:szCs w:val="18"/>
                <w:lang w:eastAsia="tr-TR"/>
              </w:rPr>
              <w:t>), eğer bu davada çok önem kazanan ikinci fıkradaki istisnalardan birine girmezse, 10. maddeyi ihlal etmiş olur.</w:t>
            </w:r>
          </w:p>
          <w:p w:rsidR="00B4242B" w:rsidRPr="00B4242B" w:rsidRDefault="00B4242B" w:rsidP="00B4242B">
            <w:pPr>
              <w:spacing w:before="100" w:beforeAutospacing="1" w:after="100" w:afterAutospacing="1" w:line="240" w:lineRule="auto"/>
              <w:outlineLvl w:val="2"/>
              <w:rPr>
                <w:rFonts w:ascii="Verdana" w:eastAsia="Times New Roman" w:hAnsi="Verdana" w:cs="Times New Roman"/>
                <w:b/>
                <w:bCs/>
                <w:sz w:val="30"/>
                <w:szCs w:val="30"/>
                <w:lang w:eastAsia="tr-TR"/>
              </w:rPr>
            </w:pPr>
            <w:r w:rsidRPr="00B4242B">
              <w:rPr>
                <w:rFonts w:ascii="Verdana" w:eastAsia="Times New Roman" w:hAnsi="Verdana" w:cs="Times New Roman"/>
                <w:b/>
                <w:bCs/>
                <w:sz w:val="30"/>
                <w:szCs w:val="30"/>
                <w:lang w:eastAsia="tr-TR"/>
              </w:rPr>
              <w:t>B. Müdahalenin hukuken öngörülmüş olup olmadığı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44. </w:t>
            </w: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ettiği "</w:t>
            </w:r>
            <w:proofErr w:type="spellStart"/>
            <w:r w:rsidRPr="00B4242B">
              <w:rPr>
                <w:rFonts w:ascii="Verdana" w:eastAsia="Times New Roman" w:hAnsi="Verdana" w:cs="Times New Roman"/>
                <w:sz w:val="18"/>
                <w:szCs w:val="18"/>
                <w:lang w:eastAsia="tr-TR"/>
              </w:rPr>
              <w:t>yasaklar"ın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cezalar"ın</w:t>
            </w:r>
            <w:proofErr w:type="spellEnd"/>
            <w:r w:rsidRPr="00B4242B">
              <w:rPr>
                <w:rFonts w:ascii="Verdana" w:eastAsia="Times New Roman" w:hAnsi="Verdana" w:cs="Times New Roman"/>
                <w:sz w:val="18"/>
                <w:szCs w:val="18"/>
                <w:lang w:eastAsia="tr-TR"/>
              </w:rPr>
              <w:t xml:space="preserve"> 10. maddeye aykırı olmamaları için, bunların öncelikle ikinci fıkraya göre "hukuken öngörülmüş" (</w:t>
            </w:r>
            <w:proofErr w:type="spellStart"/>
            <w:r w:rsidRPr="00B4242B">
              <w:rPr>
                <w:rFonts w:ascii="Verdana" w:eastAsia="Times New Roman" w:hAnsi="Verdana" w:cs="Times New Roman"/>
                <w:sz w:val="18"/>
                <w:szCs w:val="18"/>
                <w:lang w:eastAsia="tr-TR"/>
              </w:rPr>
              <w:t>prescribed</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by</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law</w:t>
            </w:r>
            <w:proofErr w:type="spellEnd"/>
            <w:r w:rsidRPr="00B4242B">
              <w:rPr>
                <w:rFonts w:ascii="Verdana" w:eastAsia="Times New Roman" w:hAnsi="Verdana" w:cs="Times New Roman"/>
                <w:sz w:val="18"/>
                <w:szCs w:val="18"/>
                <w:lang w:eastAsia="tr-TR"/>
              </w:rPr>
              <w:t>) yasaklar ve cezalar olmaları zorunludur. Mahkeme önce bunu tespit edecektir. Birleşik Krallık hukuk sisteminde, söz konusu önlemlerin hukuki dayanağı 1959/1964 tarihli Yasadır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14-18, 24-25 ve 27-34</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Bu noktaya, söz konusu Yasaların doğru uygulandığını kabul eden başvurucu tarafından da itiraz edilmemiştir.</w:t>
            </w:r>
          </w:p>
          <w:p w:rsidR="00B4242B" w:rsidRPr="00B4242B" w:rsidRDefault="00B4242B" w:rsidP="00B4242B">
            <w:pPr>
              <w:spacing w:before="100" w:beforeAutospacing="1" w:after="100" w:afterAutospacing="1" w:line="240" w:lineRule="auto"/>
              <w:outlineLvl w:val="2"/>
              <w:rPr>
                <w:rFonts w:ascii="Verdana" w:eastAsia="Times New Roman" w:hAnsi="Verdana" w:cs="Times New Roman"/>
                <w:b/>
                <w:bCs/>
                <w:sz w:val="30"/>
                <w:szCs w:val="30"/>
                <w:lang w:eastAsia="tr-TR"/>
              </w:rPr>
            </w:pPr>
            <w:r w:rsidRPr="00B4242B">
              <w:rPr>
                <w:rFonts w:ascii="Verdana" w:eastAsia="Times New Roman" w:hAnsi="Verdana" w:cs="Times New Roman"/>
                <w:b/>
                <w:bCs/>
                <w:sz w:val="30"/>
                <w:szCs w:val="30"/>
                <w:lang w:eastAsia="tr-TR"/>
              </w:rPr>
              <w:t>C. Müdahalenin meşru bir amaca sahip olup olmadığı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45. 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konusu müdahalelerin, Sözleşme’nin 10(2). </w:t>
            </w:r>
            <w:proofErr w:type="gramStart"/>
            <w:r w:rsidRPr="00B4242B">
              <w:rPr>
                <w:rFonts w:ascii="Verdana" w:eastAsia="Times New Roman" w:hAnsi="Verdana" w:cs="Times New Roman"/>
                <w:sz w:val="18"/>
                <w:szCs w:val="18"/>
                <w:lang w:eastAsia="tr-TR"/>
              </w:rPr>
              <w:t>fıkrasındaki</w:t>
            </w:r>
            <w:proofErr w:type="gramEnd"/>
            <w:r w:rsidRPr="00B4242B">
              <w:rPr>
                <w:rFonts w:ascii="Verdana" w:eastAsia="Times New Roman" w:hAnsi="Verdana" w:cs="Times New Roman"/>
                <w:sz w:val="18"/>
                <w:szCs w:val="18"/>
                <w:lang w:eastAsia="tr-TR"/>
              </w:rPr>
              <w:t xml:space="preserve"> ilk koşulu yerine getirdiğini tespit eden Mahkeme, daha sonra bu müdahalelerin diğer koşullara da uyup uymadığını araştırmıştır. Hükümete ve Komisyon çoğunluğuna göre müdahaleler, "genel ahlakın... </w:t>
            </w:r>
            <w:proofErr w:type="gramStart"/>
            <w:r w:rsidRPr="00B4242B">
              <w:rPr>
                <w:rFonts w:ascii="Verdana" w:eastAsia="Times New Roman" w:hAnsi="Verdana" w:cs="Times New Roman"/>
                <w:sz w:val="18"/>
                <w:szCs w:val="18"/>
                <w:lang w:eastAsia="tr-TR"/>
              </w:rPr>
              <w:t>korunması</w:t>
            </w:r>
            <w:proofErr w:type="gramEnd"/>
            <w:r w:rsidRPr="00B4242B">
              <w:rPr>
                <w:rFonts w:ascii="Verdana" w:eastAsia="Times New Roman" w:hAnsi="Verdana" w:cs="Times New Roman"/>
                <w:sz w:val="18"/>
                <w:szCs w:val="18"/>
                <w:lang w:eastAsia="tr-TR"/>
              </w:rPr>
              <w:t xml:space="preserve"> için", "demokratik bir toplumda </w:t>
            </w:r>
            <w:proofErr w:type="spellStart"/>
            <w:r w:rsidRPr="00B4242B">
              <w:rPr>
                <w:rFonts w:ascii="Verdana" w:eastAsia="Times New Roman" w:hAnsi="Verdana" w:cs="Times New Roman"/>
                <w:sz w:val="18"/>
                <w:szCs w:val="18"/>
                <w:lang w:eastAsia="tr-TR"/>
              </w:rPr>
              <w:t>gerekli"dir</w:t>
            </w:r>
            <w:proofErr w:type="spellEnd"/>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46. </w:t>
            </w:r>
            <w:r w:rsidRPr="00B4242B">
              <w:rPr>
                <w:rFonts w:ascii="Verdana" w:eastAsia="Times New Roman" w:hAnsi="Verdana" w:cs="Times New Roman"/>
                <w:sz w:val="18"/>
                <w:szCs w:val="18"/>
                <w:lang w:eastAsia="tr-TR"/>
              </w:rPr>
              <w:t xml:space="preserve">Hükümetin yaklaşımına ve Komisyon’un oybirliğiyle vardığı görüşe katılan Mahkeme, ilkin, 1959/1965 tarihli Yasanın, Sözleşme’nin 10(2). </w:t>
            </w:r>
            <w:proofErr w:type="gramStart"/>
            <w:r w:rsidRPr="00B4242B">
              <w:rPr>
                <w:rFonts w:ascii="Verdana" w:eastAsia="Times New Roman" w:hAnsi="Verdana" w:cs="Times New Roman"/>
                <w:sz w:val="18"/>
                <w:szCs w:val="18"/>
                <w:lang w:eastAsia="tr-TR"/>
              </w:rPr>
              <w:t>fıkrası</w:t>
            </w:r>
            <w:proofErr w:type="gramEnd"/>
            <w:r w:rsidRPr="00B4242B">
              <w:rPr>
                <w:rFonts w:ascii="Verdana" w:eastAsia="Times New Roman" w:hAnsi="Verdana" w:cs="Times New Roman"/>
                <w:sz w:val="18"/>
                <w:szCs w:val="18"/>
                <w:lang w:eastAsia="tr-TR"/>
              </w:rPr>
              <w:t xml:space="preserve"> bakımından meşru bir amaca (</w:t>
            </w:r>
            <w:proofErr w:type="spellStart"/>
            <w:r w:rsidRPr="00B4242B">
              <w:rPr>
                <w:rFonts w:ascii="Verdana" w:eastAsia="Times New Roman" w:hAnsi="Verdana" w:cs="Times New Roman"/>
                <w:sz w:val="18"/>
                <w:szCs w:val="18"/>
                <w:lang w:eastAsia="tr-TR"/>
              </w:rPr>
              <w:t>legitimate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aim</w:t>
            </w:r>
            <w:proofErr w:type="spellEnd"/>
            <w:r w:rsidRPr="00B4242B">
              <w:rPr>
                <w:rFonts w:ascii="Verdana" w:eastAsia="Times New Roman" w:hAnsi="Verdana" w:cs="Times New Roman"/>
                <w:sz w:val="18"/>
                <w:szCs w:val="18"/>
                <w:lang w:eastAsia="tr-TR"/>
              </w:rPr>
              <w:t xml:space="preserve">), yani demokratik bir toplumda ahlakı koruma amacına sahip olduğu sonucuna ulaşmıştır. Eldeki dava sadece bu amaçla ilgilidir; çünkü sözü edilen Yasaların amacı, "baştan çıkarma ve ayartma" eğilimleriyle tanımlanan "müstehcen" yayınlara karşı mücadele etmektir; bu konu da, 10(2). </w:t>
            </w:r>
            <w:proofErr w:type="gramStart"/>
            <w:r w:rsidRPr="00B4242B">
              <w:rPr>
                <w:rFonts w:ascii="Verdana" w:eastAsia="Times New Roman" w:hAnsi="Verdana" w:cs="Times New Roman"/>
                <w:sz w:val="18"/>
                <w:szCs w:val="18"/>
                <w:lang w:eastAsia="tr-TR"/>
              </w:rPr>
              <w:t>fıkrasında</w:t>
            </w:r>
            <w:proofErr w:type="gramEnd"/>
            <w:r w:rsidRPr="00B4242B">
              <w:rPr>
                <w:rFonts w:ascii="Verdana" w:eastAsia="Times New Roman" w:hAnsi="Verdana" w:cs="Times New Roman"/>
                <w:sz w:val="18"/>
                <w:szCs w:val="18"/>
                <w:lang w:eastAsia="tr-TR"/>
              </w:rPr>
              <w:t xml:space="preserve"> gösterilen diğer amaçlardan çok, ahlakın korunmasıyla daha yakından ilişkilidir.</w:t>
            </w:r>
          </w:p>
          <w:p w:rsidR="00B4242B" w:rsidRPr="00B4242B" w:rsidRDefault="00B4242B" w:rsidP="00B4242B">
            <w:pPr>
              <w:spacing w:before="100" w:beforeAutospacing="1" w:after="100" w:afterAutospacing="1" w:line="240" w:lineRule="auto"/>
              <w:outlineLvl w:val="2"/>
              <w:rPr>
                <w:rFonts w:ascii="Verdana" w:eastAsia="Times New Roman" w:hAnsi="Verdana" w:cs="Times New Roman"/>
                <w:b/>
                <w:bCs/>
                <w:sz w:val="30"/>
                <w:szCs w:val="30"/>
                <w:lang w:eastAsia="tr-TR"/>
              </w:rPr>
            </w:pPr>
            <w:r w:rsidRPr="00B4242B">
              <w:rPr>
                <w:rFonts w:ascii="Verdana" w:eastAsia="Times New Roman" w:hAnsi="Verdana" w:cs="Times New Roman"/>
                <w:b/>
                <w:bCs/>
                <w:sz w:val="30"/>
                <w:szCs w:val="30"/>
                <w:lang w:eastAsia="tr-TR"/>
              </w:rPr>
              <w:t>D. Müdahalenin demokratik toplumda gerekliliği sorunu</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47. </w:t>
            </w:r>
            <w:r w:rsidRPr="00B4242B">
              <w:rPr>
                <w:rFonts w:ascii="Verdana" w:eastAsia="Times New Roman" w:hAnsi="Verdana" w:cs="Times New Roman"/>
                <w:sz w:val="18"/>
                <w:szCs w:val="18"/>
                <w:lang w:eastAsia="tr-TR"/>
              </w:rPr>
              <w:t xml:space="preserve">Mahkeme ayrıca, demokratik bir toplumda ahlakı korumanın, 1959/1964 tarihli Yasaya göre, başvurucuya ve Ders Kitabı’na karşı çeşitli önemlerin alınmasını gerektirip gerektirmediğini de araştırmak durumdadır.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xml:space="preserve">, </w:t>
            </w:r>
            <w:r w:rsidRPr="00B4242B">
              <w:rPr>
                <w:rFonts w:ascii="Verdana" w:eastAsia="Times New Roman" w:hAnsi="Verdana" w:cs="Times New Roman"/>
                <w:sz w:val="18"/>
                <w:szCs w:val="18"/>
                <w:lang w:eastAsia="tr-TR"/>
              </w:rPr>
              <w:lastRenderedPageBreak/>
              <w:t xml:space="preserve">bu Yasaların bu davada uygulanmasını eleştirmekle kalmamakta, bu Yasaların bu davada uygulanmasıyla nedeniyle, sadece İngiliz hukuku bakımından değil, Sözleşme bakımından da bir çok </w:t>
            </w:r>
            <w:proofErr w:type="gramStart"/>
            <w:r w:rsidRPr="00B4242B">
              <w:rPr>
                <w:rFonts w:ascii="Verdana" w:eastAsia="Times New Roman" w:hAnsi="Verdana" w:cs="Times New Roman"/>
                <w:sz w:val="18"/>
                <w:szCs w:val="18"/>
                <w:lang w:eastAsia="tr-TR"/>
              </w:rPr>
              <w:t>şikayette</w:t>
            </w:r>
            <w:proofErr w:type="gramEnd"/>
            <w:r w:rsidRPr="00B4242B">
              <w:rPr>
                <w:rFonts w:ascii="Verdana" w:eastAsia="Times New Roman" w:hAnsi="Verdana" w:cs="Times New Roman"/>
                <w:sz w:val="18"/>
                <w:szCs w:val="18"/>
                <w:lang w:eastAsia="tr-TR"/>
              </w:rPr>
              <w:t xml:space="preserve"> bulunmaktadır.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Komisyon ise, raporunda ve ayrıca Temmuz 1976'da Mahkeme’de birbirini izleyen duruşmalarda, başvurucu tarafından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edilen söz konusu '</w:t>
            </w:r>
            <w:proofErr w:type="spellStart"/>
            <w:r w:rsidRPr="00B4242B">
              <w:rPr>
                <w:rFonts w:ascii="Verdana" w:eastAsia="Times New Roman" w:hAnsi="Verdana" w:cs="Times New Roman"/>
                <w:sz w:val="18"/>
                <w:szCs w:val="18"/>
                <w:lang w:eastAsia="tr-TR"/>
              </w:rPr>
              <w:t>yasaklar'ın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cezalar'ın</w:t>
            </w:r>
            <w:proofErr w:type="spellEnd"/>
            <w:r w:rsidRPr="00B4242B">
              <w:rPr>
                <w:rFonts w:ascii="Verdana" w:eastAsia="Times New Roman" w:hAnsi="Verdana" w:cs="Times New Roman"/>
                <w:sz w:val="18"/>
                <w:szCs w:val="18"/>
                <w:lang w:eastAsia="tr-TR"/>
              </w:rPr>
              <w:t xml:space="preserve">, 'ahlakı korumak için', 'demokratik bir toplumda gerekli' olup olmadığının nasıl belirleneceği gibi, çok önemli bir sorun üzerinde bazı görüş farklılıklarının ortaya çıktığını vurgulamıştır. Hükümete ve Komisyon çoğunluğuna göre Mahkeme sadece, İngiliz mahkemelerinin makul biçimde ve iyi niyetle, ayrıca Sözleşme’nin 10(2). </w:t>
            </w:r>
            <w:proofErr w:type="gramStart"/>
            <w:r w:rsidRPr="00B4242B">
              <w:rPr>
                <w:rFonts w:ascii="Verdana" w:eastAsia="Times New Roman" w:hAnsi="Verdana" w:cs="Times New Roman"/>
                <w:sz w:val="18"/>
                <w:szCs w:val="18"/>
                <w:lang w:eastAsia="tr-TR"/>
              </w:rPr>
              <w:t>fıkrasında</w:t>
            </w:r>
            <w:proofErr w:type="gramEnd"/>
            <w:r w:rsidRPr="00B4242B">
              <w:rPr>
                <w:rFonts w:ascii="Verdana" w:eastAsia="Times New Roman" w:hAnsi="Verdana" w:cs="Times New Roman"/>
                <w:sz w:val="18"/>
                <w:szCs w:val="18"/>
                <w:lang w:eastAsia="tr-TR"/>
              </w:rPr>
              <w:t xml:space="preserve"> Sözleşmeci Devletlere bırakılan takdir alanı (</w:t>
            </w:r>
            <w:proofErr w:type="spellStart"/>
            <w:r w:rsidRPr="00B4242B">
              <w:rPr>
                <w:rFonts w:ascii="Verdana" w:eastAsia="Times New Roman" w:hAnsi="Verdana" w:cs="Times New Roman"/>
                <w:sz w:val="18"/>
                <w:szCs w:val="18"/>
                <w:lang w:eastAsia="tr-TR"/>
              </w:rPr>
              <w:t>margin</w:t>
            </w:r>
            <w:proofErr w:type="spellEnd"/>
            <w:r w:rsidRPr="00B4242B">
              <w:rPr>
                <w:rFonts w:ascii="Verdana" w:eastAsia="Times New Roman" w:hAnsi="Verdana" w:cs="Times New Roman"/>
                <w:sz w:val="18"/>
                <w:szCs w:val="18"/>
                <w:lang w:eastAsia="tr-TR"/>
              </w:rPr>
              <w:t xml:space="preserve"> of </w:t>
            </w:r>
            <w:proofErr w:type="spellStart"/>
            <w:r w:rsidRPr="00B4242B">
              <w:rPr>
                <w:rFonts w:ascii="Verdana" w:eastAsia="Times New Roman" w:hAnsi="Verdana" w:cs="Times New Roman"/>
                <w:sz w:val="18"/>
                <w:szCs w:val="18"/>
                <w:lang w:eastAsia="tr-TR"/>
              </w:rPr>
              <w:t>appreciation</w:t>
            </w:r>
            <w:proofErr w:type="spellEnd"/>
            <w:r w:rsidRPr="00B4242B">
              <w:rPr>
                <w:rFonts w:ascii="Verdana" w:eastAsia="Times New Roman" w:hAnsi="Verdana" w:cs="Times New Roman"/>
                <w:sz w:val="18"/>
                <w:szCs w:val="18"/>
                <w:lang w:eastAsia="tr-TR"/>
              </w:rPr>
              <w:t xml:space="preserve">) içinde davranıp davranmadığını tespit etmelidir. Diğer taraftan Komisyon azınlığı ise Mahkeme’nin görevini, "Inner </w:t>
            </w:r>
            <w:proofErr w:type="spellStart"/>
            <w:r w:rsidRPr="00B4242B">
              <w:rPr>
                <w:rFonts w:ascii="Verdana" w:eastAsia="Times New Roman" w:hAnsi="Verdana" w:cs="Times New Roman"/>
                <w:sz w:val="18"/>
                <w:szCs w:val="18"/>
                <w:lang w:eastAsia="tr-TR"/>
              </w:rPr>
              <w:t>London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 kararını denetlemek (</w:t>
            </w:r>
            <w:proofErr w:type="spellStart"/>
            <w:r w:rsidRPr="00B4242B">
              <w:rPr>
                <w:rFonts w:ascii="Verdana" w:eastAsia="Times New Roman" w:hAnsi="Verdana" w:cs="Times New Roman"/>
                <w:sz w:val="18"/>
                <w:szCs w:val="18"/>
                <w:lang w:eastAsia="tr-TR"/>
              </w:rPr>
              <w:t>review</w:t>
            </w:r>
            <w:proofErr w:type="spellEnd"/>
            <w:r w:rsidRPr="00B4242B">
              <w:rPr>
                <w:rFonts w:ascii="Verdana" w:eastAsia="Times New Roman" w:hAnsi="Verdana" w:cs="Times New Roman"/>
                <w:sz w:val="18"/>
                <w:szCs w:val="18"/>
                <w:lang w:eastAsia="tr-TR"/>
              </w:rPr>
              <w:t>) değil, Ders Kitabı'nı doğrudan doğruya ve sadece Sözleşme’nin ışığı altında incelemek (</w:t>
            </w:r>
            <w:proofErr w:type="spellStart"/>
            <w:r w:rsidRPr="00B4242B">
              <w:rPr>
                <w:rFonts w:ascii="Verdana" w:eastAsia="Times New Roman" w:hAnsi="Verdana" w:cs="Times New Roman"/>
                <w:sz w:val="18"/>
                <w:szCs w:val="18"/>
                <w:lang w:eastAsia="tr-TR"/>
              </w:rPr>
              <w:t>examine</w:t>
            </w:r>
            <w:proofErr w:type="spellEnd"/>
            <w:r w:rsidRPr="00B4242B">
              <w:rPr>
                <w:rFonts w:ascii="Verdana" w:eastAsia="Times New Roman" w:hAnsi="Verdana" w:cs="Times New Roman"/>
                <w:sz w:val="18"/>
                <w:szCs w:val="18"/>
                <w:lang w:eastAsia="tr-TR"/>
              </w:rPr>
              <w:t>) biçiminde görmektedir.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48. </w:t>
            </w:r>
            <w:r w:rsidRPr="00B4242B">
              <w:rPr>
                <w:rFonts w:ascii="Verdana" w:eastAsia="Times New Roman" w:hAnsi="Verdana" w:cs="Times New Roman"/>
                <w:sz w:val="18"/>
                <w:szCs w:val="18"/>
                <w:lang w:eastAsia="tr-TR"/>
              </w:rPr>
              <w:t xml:space="preserve">Mahkeme, Sözleşme tarafından oluşturulan koruma mekanizmasının, insan haklarının ulusal sistemlerle korunmasına getirilen yedek (ikincil, </w:t>
            </w:r>
            <w:proofErr w:type="spellStart"/>
            <w:r w:rsidRPr="00B4242B">
              <w:rPr>
                <w:rFonts w:ascii="Verdana" w:eastAsia="Times New Roman" w:hAnsi="Verdana" w:cs="Times New Roman"/>
                <w:sz w:val="18"/>
                <w:szCs w:val="18"/>
                <w:lang w:eastAsia="tr-TR"/>
              </w:rPr>
              <w:t>subsidiary</w:t>
            </w:r>
            <w:proofErr w:type="spellEnd"/>
            <w:r w:rsidRPr="00B4242B">
              <w:rPr>
                <w:rFonts w:ascii="Verdana" w:eastAsia="Times New Roman" w:hAnsi="Verdana" w:cs="Times New Roman"/>
                <w:sz w:val="18"/>
                <w:szCs w:val="18"/>
                <w:lang w:eastAsia="tr-TR"/>
              </w:rPr>
              <w:t>) bir mekanizma olduğunu belirlemiştir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Belçika’da Eğitim Dili Davası (Esas </w:t>
            </w:r>
            <w:proofErr w:type="spellStart"/>
            <w:r w:rsidRPr="00B4242B">
              <w:rPr>
                <w:rFonts w:ascii="Verdana" w:eastAsia="Times New Roman" w:hAnsi="Verdana" w:cs="Times New Roman"/>
                <w:i/>
                <w:iCs/>
                <w:sz w:val="18"/>
                <w:szCs w:val="18"/>
                <w:lang w:eastAsia="tr-TR"/>
              </w:rPr>
              <w:t>hk</w:t>
            </w:r>
            <w:proofErr w:type="spellEnd"/>
            <w:r w:rsidRPr="00B4242B">
              <w:rPr>
                <w:rFonts w:ascii="Verdana" w:eastAsia="Times New Roman" w:hAnsi="Verdana" w:cs="Times New Roman"/>
                <w:i/>
                <w:iCs/>
                <w:sz w:val="18"/>
                <w:szCs w:val="18"/>
                <w:lang w:eastAsia="tr-TR"/>
              </w:rPr>
              <w:t xml:space="preserve">),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10 sonu</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Sözleşme, kapsadığı hak ve özgürlükleri koruma görevini ilkin her bir Sözleşmeci Devlete bırakmaktadır. Sözleşme ile meydana getirilen kurumlar bu göreve kendi katkılarını yapmakta, sadece çekişmeli dava yoluyla ve 26. maddeye göre bütün iç hukuk yolları tüketildikten sonra işe karışmaktadır.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 tespitler, Sözleşme’nin 10(2).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da uygulanır. Özellikle, Sözleşmeci Devletlerin değişen iç hukuklarında tek biçimli bir Avrupa ahlak anlayışı bulmak mümkün değildir. Her bir ülke hukukunun ahlaki gereklere yaklaşımı, özellikle konu hakkındaki düşüncelerin hızla ve geniş ölçüde evrim geçirdiği günümüzde zamana ve yere göre değişmektedir. Devlet yetkilileri ülkelerinin esaslı güçleriyle (</w:t>
            </w:r>
            <w:proofErr w:type="spellStart"/>
            <w:r w:rsidRPr="00B4242B">
              <w:rPr>
                <w:rFonts w:ascii="Verdana" w:eastAsia="Times New Roman" w:hAnsi="Verdana" w:cs="Times New Roman"/>
                <w:sz w:val="18"/>
                <w:szCs w:val="18"/>
                <w:lang w:eastAsia="tr-TR"/>
              </w:rPr>
              <w:t>vital</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forces</w:t>
            </w:r>
            <w:proofErr w:type="spellEnd"/>
            <w:r w:rsidRPr="00B4242B">
              <w:rPr>
                <w:rFonts w:ascii="Verdana" w:eastAsia="Times New Roman" w:hAnsi="Verdana" w:cs="Times New Roman"/>
                <w:sz w:val="18"/>
                <w:szCs w:val="18"/>
                <w:lang w:eastAsia="tr-TR"/>
              </w:rPr>
              <w:t>) doğrudan ve sürekli ilişkide bulunmaları nedeniyle, ahlaki gereklerin tam içerikleri ve bunları karşılamak için tasarladıkları 'yasak' veya '</w:t>
            </w:r>
            <w:proofErr w:type="spellStart"/>
            <w:r w:rsidRPr="00B4242B">
              <w:rPr>
                <w:rFonts w:ascii="Verdana" w:eastAsia="Times New Roman" w:hAnsi="Verdana" w:cs="Times New Roman"/>
                <w:sz w:val="18"/>
                <w:szCs w:val="18"/>
                <w:lang w:eastAsia="tr-TR"/>
              </w:rPr>
              <w:t>ceza'nın</w:t>
            </w:r>
            <w:proofErr w:type="spellEnd"/>
            <w:r w:rsidRPr="00B4242B">
              <w:rPr>
                <w:rFonts w:ascii="Verdana" w:eastAsia="Times New Roman" w:hAnsi="Verdana" w:cs="Times New Roman"/>
                <w:sz w:val="18"/>
                <w:szCs w:val="18"/>
                <w:lang w:eastAsia="tr-TR"/>
              </w:rPr>
              <w:t xml:space="preserve"> 'gerekliliği' hakkında bir görüş bildirirken, uluslararası bir yargıçtan genellikle daha iyi bir durumdadırlar. Mahkeme bu bağlamda, Sözleşme’nin 10(2). </w:t>
            </w:r>
            <w:proofErr w:type="gramStart"/>
            <w:r w:rsidRPr="00B4242B">
              <w:rPr>
                <w:rFonts w:ascii="Verdana" w:eastAsia="Times New Roman" w:hAnsi="Verdana" w:cs="Times New Roman"/>
                <w:sz w:val="18"/>
                <w:szCs w:val="18"/>
                <w:lang w:eastAsia="tr-TR"/>
              </w:rPr>
              <w:t>fıkrasındaki</w:t>
            </w:r>
            <w:proofErr w:type="gramEnd"/>
            <w:r w:rsidRPr="00B4242B">
              <w:rPr>
                <w:rFonts w:ascii="Verdana" w:eastAsia="Times New Roman" w:hAnsi="Verdana" w:cs="Times New Roman"/>
                <w:sz w:val="18"/>
                <w:szCs w:val="18"/>
                <w:lang w:eastAsia="tr-TR"/>
              </w:rPr>
              <w:t xml:space="preserve"> 'gerekli' (</w:t>
            </w:r>
            <w:proofErr w:type="spellStart"/>
            <w:r w:rsidRPr="00B4242B">
              <w:rPr>
                <w:rFonts w:ascii="Verdana" w:eastAsia="Times New Roman" w:hAnsi="Verdana" w:cs="Times New Roman"/>
                <w:sz w:val="18"/>
                <w:szCs w:val="18"/>
                <w:lang w:eastAsia="tr-TR"/>
              </w:rPr>
              <w:t>necessary</w:t>
            </w:r>
            <w:proofErr w:type="spellEnd"/>
            <w:r w:rsidRPr="00B4242B">
              <w:rPr>
                <w:rFonts w:ascii="Verdana" w:eastAsia="Times New Roman" w:hAnsi="Verdana" w:cs="Times New Roman"/>
                <w:sz w:val="18"/>
                <w:szCs w:val="18"/>
                <w:lang w:eastAsia="tr-TR"/>
              </w:rPr>
              <w:t>) sıfatının, bir yandan 'zorunlu' (</w:t>
            </w:r>
            <w:proofErr w:type="spellStart"/>
            <w:r w:rsidRPr="00B4242B">
              <w:rPr>
                <w:rFonts w:ascii="Verdana" w:eastAsia="Times New Roman" w:hAnsi="Verdana" w:cs="Times New Roman"/>
                <w:sz w:val="18"/>
                <w:szCs w:val="18"/>
                <w:lang w:eastAsia="tr-TR"/>
              </w:rPr>
              <w:t>indispensable</w:t>
            </w:r>
            <w:proofErr w:type="spellEnd"/>
            <w:r w:rsidRPr="00B4242B">
              <w:rPr>
                <w:rFonts w:ascii="Verdana" w:eastAsia="Times New Roman" w:hAnsi="Verdana" w:cs="Times New Roman"/>
                <w:sz w:val="18"/>
                <w:szCs w:val="18"/>
                <w:lang w:eastAsia="tr-TR"/>
              </w:rPr>
              <w:t>) sözcüğü ile anlamdaş olmadığını </w:t>
            </w:r>
            <w:r w:rsidRPr="00B4242B">
              <w:rPr>
                <w:rFonts w:ascii="Verdana" w:eastAsia="Times New Roman" w:hAnsi="Verdana" w:cs="Times New Roman"/>
                <w:i/>
                <w:iCs/>
                <w:sz w:val="18"/>
                <w:szCs w:val="18"/>
                <w:lang w:eastAsia="tr-TR"/>
              </w:rPr>
              <w:t xml:space="preserve">(krş. </w:t>
            </w:r>
            <w:proofErr w:type="gramStart"/>
            <w:r w:rsidRPr="00B4242B">
              <w:rPr>
                <w:rFonts w:ascii="Verdana" w:eastAsia="Times New Roman" w:hAnsi="Verdana" w:cs="Times New Roman"/>
                <w:i/>
                <w:iCs/>
                <w:sz w:val="18"/>
                <w:szCs w:val="18"/>
                <w:lang w:eastAsia="tr-TR"/>
              </w:rPr>
              <w:t>md</w:t>
            </w:r>
            <w:proofErr w:type="gramEnd"/>
            <w:r w:rsidRPr="00B4242B">
              <w:rPr>
                <w:rFonts w:ascii="Verdana" w:eastAsia="Times New Roman" w:hAnsi="Verdana" w:cs="Times New Roman"/>
                <w:i/>
                <w:iCs/>
                <w:sz w:val="18"/>
                <w:szCs w:val="18"/>
                <w:lang w:eastAsia="tr-TR"/>
              </w:rPr>
              <w:t>.2(2)'deki "mutlaka gerekli", md.6(1)'deki "kesinlikle gerekli" ifadeleri ve md.15(1)'deki "durumun zorunluluklarının kesin olarak gerektirdiği ölçüde" ifadesi)</w:t>
            </w:r>
            <w:r w:rsidRPr="00B4242B">
              <w:rPr>
                <w:rFonts w:ascii="Verdana" w:eastAsia="Times New Roman" w:hAnsi="Verdana" w:cs="Times New Roman"/>
                <w:sz w:val="18"/>
                <w:szCs w:val="18"/>
                <w:lang w:eastAsia="tr-TR"/>
              </w:rPr>
              <w:t>, öte yandan '</w:t>
            </w:r>
            <w:proofErr w:type="spellStart"/>
            <w:r w:rsidRPr="00B4242B">
              <w:rPr>
                <w:rFonts w:ascii="Verdana" w:eastAsia="Times New Roman" w:hAnsi="Verdana" w:cs="Times New Roman"/>
                <w:sz w:val="18"/>
                <w:szCs w:val="18"/>
                <w:lang w:eastAsia="tr-TR"/>
              </w:rPr>
              <w:t>kabuledilebilir</w:t>
            </w:r>
            <w:proofErr w:type="spellEnd"/>
            <w:r w:rsidRPr="00B4242B">
              <w:rPr>
                <w:rFonts w:ascii="Verdana" w:eastAsia="Times New Roman" w:hAnsi="Verdana" w:cs="Times New Roman"/>
                <w:sz w:val="18"/>
                <w:szCs w:val="18"/>
                <w:lang w:eastAsia="tr-TR"/>
              </w:rPr>
              <w:t>', 'olağan' </w:t>
            </w:r>
            <w:r w:rsidRPr="00B4242B">
              <w:rPr>
                <w:rFonts w:ascii="Verdana" w:eastAsia="Times New Roman" w:hAnsi="Verdana" w:cs="Times New Roman"/>
                <w:i/>
                <w:iCs/>
                <w:sz w:val="18"/>
                <w:szCs w:val="18"/>
                <w:lang w:eastAsia="tr-TR"/>
              </w:rPr>
              <w:t xml:space="preserve">(krş. </w:t>
            </w:r>
            <w:proofErr w:type="gramStart"/>
            <w:r w:rsidRPr="00B4242B">
              <w:rPr>
                <w:rFonts w:ascii="Verdana" w:eastAsia="Times New Roman" w:hAnsi="Verdana" w:cs="Times New Roman"/>
                <w:i/>
                <w:iCs/>
                <w:sz w:val="18"/>
                <w:szCs w:val="18"/>
                <w:lang w:eastAsia="tr-TR"/>
              </w:rPr>
              <w:t>md</w:t>
            </w:r>
            <w:proofErr w:type="gramEnd"/>
            <w:r w:rsidRPr="00B4242B">
              <w:rPr>
                <w:rFonts w:ascii="Verdana" w:eastAsia="Times New Roman" w:hAnsi="Verdana" w:cs="Times New Roman"/>
                <w:i/>
                <w:iCs/>
                <w:sz w:val="18"/>
                <w:szCs w:val="18"/>
                <w:lang w:eastAsia="tr-TR"/>
              </w:rPr>
              <w:t>.4(3))</w:t>
            </w:r>
            <w:r w:rsidRPr="00B4242B">
              <w:rPr>
                <w:rFonts w:ascii="Verdana" w:eastAsia="Times New Roman" w:hAnsi="Verdana" w:cs="Times New Roman"/>
                <w:sz w:val="18"/>
                <w:szCs w:val="18"/>
                <w:lang w:eastAsia="tr-TR"/>
              </w:rPr>
              <w:t>, 'yararlı' </w:t>
            </w:r>
            <w:r w:rsidRPr="00B4242B">
              <w:rPr>
                <w:rFonts w:ascii="Verdana" w:eastAsia="Times New Roman" w:hAnsi="Verdana" w:cs="Times New Roman"/>
                <w:i/>
                <w:iCs/>
                <w:sz w:val="18"/>
                <w:szCs w:val="18"/>
                <w:lang w:eastAsia="tr-TR"/>
              </w:rPr>
              <w:t>(krş. Birinci Protokolün 1. maddesi, Fransızca metin</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'makul' </w:t>
            </w:r>
            <w:r w:rsidRPr="00B4242B">
              <w:rPr>
                <w:rFonts w:ascii="Verdana" w:eastAsia="Times New Roman" w:hAnsi="Verdana" w:cs="Times New Roman"/>
                <w:i/>
                <w:iCs/>
                <w:sz w:val="18"/>
                <w:szCs w:val="18"/>
                <w:lang w:eastAsia="tr-TR"/>
              </w:rPr>
              <w:t xml:space="preserve">(krş. </w:t>
            </w:r>
            <w:proofErr w:type="gramStart"/>
            <w:r w:rsidRPr="00B4242B">
              <w:rPr>
                <w:rFonts w:ascii="Verdana" w:eastAsia="Times New Roman" w:hAnsi="Verdana" w:cs="Times New Roman"/>
                <w:i/>
                <w:iCs/>
                <w:sz w:val="18"/>
                <w:szCs w:val="18"/>
                <w:lang w:eastAsia="tr-TR"/>
              </w:rPr>
              <w:t>md</w:t>
            </w:r>
            <w:proofErr w:type="gramEnd"/>
            <w:r w:rsidRPr="00B4242B">
              <w:rPr>
                <w:rFonts w:ascii="Verdana" w:eastAsia="Times New Roman" w:hAnsi="Verdana" w:cs="Times New Roman"/>
                <w:i/>
                <w:iCs/>
                <w:sz w:val="18"/>
                <w:szCs w:val="18"/>
                <w:lang w:eastAsia="tr-TR"/>
              </w:rPr>
              <w:t>.5(3) ve md.6(1))</w:t>
            </w:r>
            <w:r w:rsidRPr="00B4242B">
              <w:rPr>
                <w:rFonts w:ascii="Verdana" w:eastAsia="Times New Roman" w:hAnsi="Verdana" w:cs="Times New Roman"/>
                <w:sz w:val="18"/>
                <w:szCs w:val="18"/>
                <w:lang w:eastAsia="tr-TR"/>
              </w:rPr>
              <w:t> veya 'arzu edilen' deyimleri gibi esnekliğe sahip olmadığını dikkate almaktadır. Bununla beraber, bu bağlamda 'gereklilik' kavramının ima ettiği toplumsal ihtiyaç baskısının (</w:t>
            </w:r>
            <w:proofErr w:type="spellStart"/>
            <w:r w:rsidRPr="00B4242B">
              <w:rPr>
                <w:rFonts w:ascii="Verdana" w:eastAsia="Times New Roman" w:hAnsi="Verdana" w:cs="Times New Roman"/>
                <w:sz w:val="18"/>
                <w:szCs w:val="18"/>
                <w:lang w:eastAsia="tr-TR"/>
              </w:rPr>
              <w:t>pressing</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social</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need</w:t>
            </w:r>
            <w:proofErr w:type="spellEnd"/>
            <w:r w:rsidRPr="00B4242B">
              <w:rPr>
                <w:rFonts w:ascii="Verdana" w:eastAsia="Times New Roman" w:hAnsi="Verdana" w:cs="Times New Roman"/>
                <w:sz w:val="18"/>
                <w:szCs w:val="18"/>
                <w:lang w:eastAsia="tr-TR"/>
              </w:rPr>
              <w:t>) varlığını ilk aşamada değerlendirecek olanlar, ulusal makamlardır.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Sonuç olarak, Sözleşme’nin 10(2). </w:t>
            </w:r>
            <w:proofErr w:type="gramStart"/>
            <w:r w:rsidRPr="00B4242B">
              <w:rPr>
                <w:rFonts w:ascii="Verdana" w:eastAsia="Times New Roman" w:hAnsi="Verdana" w:cs="Times New Roman"/>
                <w:sz w:val="18"/>
                <w:szCs w:val="18"/>
                <w:lang w:eastAsia="tr-TR"/>
              </w:rPr>
              <w:t>fıkrası</w:t>
            </w:r>
            <w:proofErr w:type="gramEnd"/>
            <w:r w:rsidRPr="00B4242B">
              <w:rPr>
                <w:rFonts w:ascii="Verdana" w:eastAsia="Times New Roman" w:hAnsi="Verdana" w:cs="Times New Roman"/>
                <w:sz w:val="18"/>
                <w:szCs w:val="18"/>
                <w:lang w:eastAsia="tr-TR"/>
              </w:rPr>
              <w:t xml:space="preserve">, Sözleşmeci Devletlere bir takdir alanı bırakır. 'Hukukun öngördüğü' bu alan, hem ulusal </w:t>
            </w:r>
            <w:proofErr w:type="spellStart"/>
            <w:r w:rsidRPr="00B4242B">
              <w:rPr>
                <w:rFonts w:ascii="Verdana" w:eastAsia="Times New Roman" w:hAnsi="Verdana" w:cs="Times New Roman"/>
                <w:sz w:val="18"/>
                <w:szCs w:val="18"/>
                <w:lang w:eastAsia="tr-TR"/>
              </w:rPr>
              <w:t>yasakoyucuya</w:t>
            </w:r>
            <w:proofErr w:type="spellEnd"/>
            <w:r w:rsidRPr="00B4242B">
              <w:rPr>
                <w:rFonts w:ascii="Verdana" w:eastAsia="Times New Roman" w:hAnsi="Verdana" w:cs="Times New Roman"/>
                <w:sz w:val="18"/>
                <w:szCs w:val="18"/>
                <w:lang w:eastAsia="tr-TR"/>
              </w:rPr>
              <w:t>, hem de yürürlükteki hukuku yorumlamak ve uygulamakla görevlendirilmiş makamlardan olan yargılama makamına da tanınmıştır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08.06.1976 tarihli Engel ve Diğerleri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100; 8(2). </w:t>
            </w:r>
            <w:proofErr w:type="spellStart"/>
            <w:r w:rsidRPr="00B4242B">
              <w:rPr>
                <w:rFonts w:ascii="Verdana" w:eastAsia="Times New Roman" w:hAnsi="Verdana" w:cs="Times New Roman"/>
                <w:i/>
                <w:iCs/>
                <w:sz w:val="18"/>
                <w:szCs w:val="18"/>
                <w:lang w:eastAsia="tr-TR"/>
              </w:rPr>
              <w:t>fıkrasısı</w:t>
            </w:r>
            <w:proofErr w:type="spellEnd"/>
            <w:r w:rsidRPr="00B4242B">
              <w:rPr>
                <w:rFonts w:ascii="Verdana" w:eastAsia="Times New Roman" w:hAnsi="Verdana" w:cs="Times New Roman"/>
                <w:i/>
                <w:iCs/>
                <w:sz w:val="18"/>
                <w:szCs w:val="18"/>
                <w:lang w:eastAsia="tr-TR"/>
              </w:rPr>
              <w:t xml:space="preserve"> için bk. 18.06.1971 tarihli De </w:t>
            </w:r>
            <w:proofErr w:type="spellStart"/>
            <w:r w:rsidRPr="00B4242B">
              <w:rPr>
                <w:rFonts w:ascii="Verdana" w:eastAsia="Times New Roman" w:hAnsi="Verdana" w:cs="Times New Roman"/>
                <w:i/>
                <w:iCs/>
                <w:sz w:val="18"/>
                <w:szCs w:val="18"/>
                <w:lang w:eastAsia="tr-TR"/>
              </w:rPr>
              <w:t>Wilde</w:t>
            </w:r>
            <w:proofErr w:type="spellEnd"/>
            <w:r w:rsidRPr="00B4242B">
              <w:rPr>
                <w:rFonts w:ascii="Verdana" w:eastAsia="Times New Roman" w:hAnsi="Verdana" w:cs="Times New Roman"/>
                <w:i/>
                <w:iCs/>
                <w:sz w:val="18"/>
                <w:szCs w:val="18"/>
                <w:lang w:eastAsia="tr-TR"/>
              </w:rPr>
              <w:t xml:space="preserve">, </w:t>
            </w:r>
            <w:proofErr w:type="spellStart"/>
            <w:r w:rsidRPr="00B4242B">
              <w:rPr>
                <w:rFonts w:ascii="Verdana" w:eastAsia="Times New Roman" w:hAnsi="Verdana" w:cs="Times New Roman"/>
                <w:i/>
                <w:iCs/>
                <w:sz w:val="18"/>
                <w:szCs w:val="18"/>
                <w:lang w:eastAsia="tr-TR"/>
              </w:rPr>
              <w:t>Ooms</w:t>
            </w:r>
            <w:proofErr w:type="spellEnd"/>
            <w:r w:rsidRPr="00B4242B">
              <w:rPr>
                <w:rFonts w:ascii="Verdana" w:eastAsia="Times New Roman" w:hAnsi="Verdana" w:cs="Times New Roman"/>
                <w:i/>
                <w:iCs/>
                <w:sz w:val="18"/>
                <w:szCs w:val="18"/>
                <w:lang w:eastAsia="tr-TR"/>
              </w:rPr>
              <w:t xml:space="preserve"> ve </w:t>
            </w:r>
            <w:proofErr w:type="spellStart"/>
            <w:r w:rsidRPr="00B4242B">
              <w:rPr>
                <w:rFonts w:ascii="Verdana" w:eastAsia="Times New Roman" w:hAnsi="Verdana" w:cs="Times New Roman"/>
                <w:i/>
                <w:iCs/>
                <w:sz w:val="18"/>
                <w:szCs w:val="18"/>
                <w:lang w:eastAsia="tr-TR"/>
              </w:rPr>
              <w:t>Versyp</w:t>
            </w:r>
            <w:proofErr w:type="spellEnd"/>
            <w:r w:rsidRPr="00B4242B">
              <w:rPr>
                <w:rFonts w:ascii="Verdana" w:eastAsia="Times New Roman" w:hAnsi="Verdana" w:cs="Times New Roman"/>
                <w:i/>
                <w:iCs/>
                <w:sz w:val="18"/>
                <w:szCs w:val="18"/>
                <w:lang w:eastAsia="tr-TR"/>
              </w:rPr>
              <w:t xml:space="preserve">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w:t>
            </w:r>
            <w:proofErr w:type="gramStart"/>
            <w:r w:rsidRPr="00B4242B">
              <w:rPr>
                <w:rFonts w:ascii="Verdana" w:eastAsia="Times New Roman" w:hAnsi="Verdana" w:cs="Times New Roman"/>
                <w:i/>
                <w:iCs/>
                <w:sz w:val="18"/>
                <w:szCs w:val="18"/>
                <w:lang w:eastAsia="tr-TR"/>
              </w:rPr>
              <w:t>93;</w:t>
            </w:r>
            <w:proofErr w:type="gramEnd"/>
            <w:r w:rsidRPr="00B4242B">
              <w:rPr>
                <w:rFonts w:ascii="Verdana" w:eastAsia="Times New Roman" w:hAnsi="Verdana" w:cs="Times New Roman"/>
                <w:i/>
                <w:iCs/>
                <w:sz w:val="18"/>
                <w:szCs w:val="18"/>
                <w:lang w:eastAsia="tr-TR"/>
              </w:rPr>
              <w:t xml:space="preserve"> ve </w:t>
            </w:r>
            <w:proofErr w:type="spellStart"/>
            <w:r w:rsidRPr="00B4242B">
              <w:rPr>
                <w:rFonts w:ascii="Verdana" w:eastAsia="Times New Roman" w:hAnsi="Verdana" w:cs="Times New Roman"/>
                <w:i/>
                <w:iCs/>
                <w:sz w:val="18"/>
                <w:szCs w:val="18"/>
                <w:lang w:eastAsia="tr-TR"/>
              </w:rPr>
              <w:t>Golder</w:t>
            </w:r>
            <w:proofErr w:type="spellEnd"/>
            <w:r w:rsidRPr="00B4242B">
              <w:rPr>
                <w:rFonts w:ascii="Verdana" w:eastAsia="Times New Roman" w:hAnsi="Verdana" w:cs="Times New Roman"/>
                <w:i/>
                <w:iCs/>
                <w:sz w:val="18"/>
                <w:szCs w:val="18"/>
                <w:lang w:eastAsia="tr-TR"/>
              </w:rPr>
              <w:t xml:space="preserve">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45)</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49. </w:t>
            </w:r>
            <w:r w:rsidRPr="00B4242B">
              <w:rPr>
                <w:rFonts w:ascii="Verdana" w:eastAsia="Times New Roman" w:hAnsi="Verdana" w:cs="Times New Roman"/>
                <w:sz w:val="18"/>
                <w:szCs w:val="18"/>
                <w:lang w:eastAsia="tr-TR"/>
              </w:rPr>
              <w:t xml:space="preserve">Bununla beraber, Sözleşme’nin 10(2). </w:t>
            </w:r>
            <w:proofErr w:type="gramStart"/>
            <w:r w:rsidRPr="00B4242B">
              <w:rPr>
                <w:rFonts w:ascii="Verdana" w:eastAsia="Times New Roman" w:hAnsi="Verdana" w:cs="Times New Roman"/>
                <w:sz w:val="18"/>
                <w:szCs w:val="18"/>
                <w:lang w:eastAsia="tr-TR"/>
              </w:rPr>
              <w:t>fıkrası</w:t>
            </w:r>
            <w:proofErr w:type="gramEnd"/>
            <w:r w:rsidRPr="00B4242B">
              <w:rPr>
                <w:rFonts w:ascii="Verdana" w:eastAsia="Times New Roman" w:hAnsi="Verdana" w:cs="Times New Roman"/>
                <w:sz w:val="18"/>
                <w:szCs w:val="18"/>
                <w:lang w:eastAsia="tr-TR"/>
              </w:rPr>
              <w:t>, Sözleşmeci Devletlere sınırsız bir takdir yetkisi vermez. Komisyon ile birlikte Devletlerin yükümlülüklerini yerine getirmelerini güvence altına almakla görevli olan Mahkeme (Md.19), bir 'yasak' veya '</w:t>
            </w:r>
            <w:proofErr w:type="spellStart"/>
            <w:r w:rsidRPr="00B4242B">
              <w:rPr>
                <w:rFonts w:ascii="Verdana" w:eastAsia="Times New Roman" w:hAnsi="Verdana" w:cs="Times New Roman"/>
                <w:sz w:val="18"/>
                <w:szCs w:val="18"/>
                <w:lang w:eastAsia="tr-TR"/>
              </w:rPr>
              <w:t>ceza'nın</w:t>
            </w:r>
            <w:proofErr w:type="spellEnd"/>
            <w:r w:rsidRPr="00B4242B">
              <w:rPr>
                <w:rFonts w:ascii="Verdana" w:eastAsia="Times New Roman" w:hAnsi="Verdana" w:cs="Times New Roman"/>
                <w:sz w:val="18"/>
                <w:szCs w:val="18"/>
                <w:lang w:eastAsia="tr-TR"/>
              </w:rPr>
              <w:t xml:space="preserve"> 10. maddede korunan ifade özgürlüğü ile uzlaştırılabilir olup olmadığı hakkında nihai kararı vermeye yetkilidir. Ulusal takdir alanı, Avrupa denetimiyle el ele yürümektedir. Bu denetim, hem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edilen önlemin amacıyla hem de bunun 'gerekliliği' ile ilgilidir; denetim, sadece temel milli mevzuatı değil, bağımsız bir mahkeme tarafından verilmiş de olsa, bu mevzuatı uygulayan mahkeme kararlarını da kapsar. Bu konuda Mahkeme, Sözleşme’nin 50. maddesindeki "...resmi makamları veya diğer makamları tarafından verilen kararın veya yapılan tasarrufun..." biçimindeki </w:t>
            </w:r>
            <w:proofErr w:type="gramStart"/>
            <w:r w:rsidRPr="00B4242B">
              <w:rPr>
                <w:rFonts w:ascii="Verdana" w:eastAsia="Times New Roman" w:hAnsi="Verdana" w:cs="Times New Roman"/>
                <w:sz w:val="18"/>
                <w:szCs w:val="18"/>
                <w:lang w:eastAsia="tr-TR"/>
              </w:rPr>
              <w:t>ifadesine,</w:t>
            </w:r>
            <w:proofErr w:type="gramEnd"/>
            <w:r w:rsidRPr="00B4242B">
              <w:rPr>
                <w:rFonts w:ascii="Verdana" w:eastAsia="Times New Roman" w:hAnsi="Verdana" w:cs="Times New Roman"/>
                <w:sz w:val="18"/>
                <w:szCs w:val="18"/>
                <w:lang w:eastAsia="tr-TR"/>
              </w:rPr>
              <w:t xml:space="preserve"> ve ayrıca kendi içtihadına dayanmaktadır </w:t>
            </w:r>
            <w:r w:rsidRPr="00B4242B">
              <w:rPr>
                <w:rFonts w:ascii="Verdana" w:eastAsia="Times New Roman" w:hAnsi="Verdana" w:cs="Times New Roman"/>
                <w:i/>
                <w:iCs/>
                <w:sz w:val="18"/>
                <w:szCs w:val="18"/>
                <w:lang w:eastAsia="tr-TR"/>
              </w:rPr>
              <w:t xml:space="preserve">(bk. 08.06.1976 tarihli Engel ve Diğerleri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100)</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Denetim görevi Mahkeme’yi, 'demokratik bir toplumu' niteleyen ilkelere azami dikkat göstermeye zorlamaktadır. İfade özgürlüğü, toplumun ilerlemesi ve her insanın gelişmesi için esaslı koşullardan biri olan demokratik toplumun ana temellerinden birini oluşturur. İfade özgürlüğü, 10. maddenin sınırları içinde, sadece lehte olduğu kabul edilen veya zararsız veya ilgilenmeye değmez görülen 'haber' ve 'düşünceler' için değil, ama ayrıca Devletin veya nüfusun bir bölümünün aleyhinde olan, onlara çarpıcı gelen, onları rahatsız eden haber ve düşünceler için de uygulanır. Bunlar, çoğulculuğun, hoşgörünün ve açık fikirliliğin gerekleridir; bunlar olmaksızın demokratik toplum olmaz. Bu demektir ki, başka şeyler bir yana, bu alanda getirilen her 'formalite', 'koşul', 'yasak' ve 'ceza', izlenen meşru amaçla orantılı olmalıdır.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Diğer yandan, ifade özgürlüğünü kullanan herkes, kendi durumu ve kullandığı teknik araçlar tarafından alanı belirlenen 'ödev ve sorumluluklar' yükümlenir. Mahkeme, bu davada olduğu gibi, 'demokratik bir toplumda' 'gerekli' </w:t>
            </w:r>
            <w:r w:rsidRPr="00B4242B">
              <w:rPr>
                <w:rFonts w:ascii="Verdana" w:eastAsia="Times New Roman" w:hAnsi="Verdana" w:cs="Times New Roman"/>
                <w:sz w:val="18"/>
                <w:szCs w:val="18"/>
                <w:lang w:eastAsia="tr-TR"/>
              </w:rPr>
              <w:lastRenderedPageBreak/>
              <w:t>olan '</w:t>
            </w:r>
            <w:proofErr w:type="spellStart"/>
            <w:r w:rsidRPr="00B4242B">
              <w:rPr>
                <w:rFonts w:ascii="Verdana" w:eastAsia="Times New Roman" w:hAnsi="Verdana" w:cs="Times New Roman"/>
                <w:sz w:val="18"/>
                <w:szCs w:val="18"/>
                <w:lang w:eastAsia="tr-TR"/>
              </w:rPr>
              <w:t>yasaklar'ın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cezalar'ın</w:t>
            </w:r>
            <w:proofErr w:type="spellEnd"/>
            <w:r w:rsidRPr="00B4242B">
              <w:rPr>
                <w:rFonts w:ascii="Verdana" w:eastAsia="Times New Roman" w:hAnsi="Verdana" w:cs="Times New Roman"/>
                <w:sz w:val="18"/>
                <w:szCs w:val="18"/>
                <w:lang w:eastAsia="tr-TR"/>
              </w:rPr>
              <w:t xml:space="preserve"> 'ahlakın </w:t>
            </w:r>
            <w:proofErr w:type="spellStart"/>
            <w:r w:rsidRPr="00B4242B">
              <w:rPr>
                <w:rFonts w:ascii="Verdana" w:eastAsia="Times New Roman" w:hAnsi="Verdana" w:cs="Times New Roman"/>
                <w:sz w:val="18"/>
                <w:szCs w:val="18"/>
                <w:lang w:eastAsia="tr-TR"/>
              </w:rPr>
              <w:t>korunması'na</w:t>
            </w:r>
            <w:proofErr w:type="spellEnd"/>
            <w:r w:rsidRPr="00B4242B">
              <w:rPr>
                <w:rFonts w:ascii="Verdana" w:eastAsia="Times New Roman" w:hAnsi="Verdana" w:cs="Times New Roman"/>
                <w:sz w:val="18"/>
                <w:szCs w:val="18"/>
                <w:lang w:eastAsia="tr-TR"/>
              </w:rPr>
              <w:t xml:space="preserve"> yardımcı olup olmadıklarını araştırırken, kişilerin bu tür '</w:t>
            </w:r>
            <w:proofErr w:type="spellStart"/>
            <w:r w:rsidRPr="00B4242B">
              <w:rPr>
                <w:rFonts w:ascii="Verdana" w:eastAsia="Times New Roman" w:hAnsi="Verdana" w:cs="Times New Roman"/>
                <w:sz w:val="18"/>
                <w:szCs w:val="18"/>
                <w:lang w:eastAsia="tr-TR"/>
              </w:rPr>
              <w:t>ödevleri'nin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sorumlukları'nın</w:t>
            </w:r>
            <w:proofErr w:type="spellEnd"/>
            <w:r w:rsidRPr="00B4242B">
              <w:rPr>
                <w:rFonts w:ascii="Verdana" w:eastAsia="Times New Roman" w:hAnsi="Verdana" w:cs="Times New Roman"/>
                <w:sz w:val="18"/>
                <w:szCs w:val="18"/>
                <w:lang w:eastAsia="tr-TR"/>
              </w:rPr>
              <w:t xml:space="preserve"> bulunduğunu görmezlikten gelemez.</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50. </w:t>
            </w:r>
            <w:r w:rsidRPr="00B4242B">
              <w:rPr>
                <w:rFonts w:ascii="Verdana" w:eastAsia="Times New Roman" w:hAnsi="Verdana" w:cs="Times New Roman"/>
                <w:sz w:val="18"/>
                <w:szCs w:val="18"/>
                <w:lang w:eastAsia="tr-TR"/>
              </w:rPr>
              <w:t>Buradan çıkan sonuca göre Mahkeme’nin görevi, her hangi bir biçimde yetkili ulusal mahkemelerin yerini almak değil, fakat ulusal mahkemelerin takdir yetkilerini kullanarak verdikleri kararların Sözleşme’nin 10. maddesine uygunluğunu denetlemektir.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Bununla beraber, ulusal mahkemelerin kararları verildikleri şartlardan soyutlanarak incelenecek olursa, Mahkeme’nin denetimi genellikle yanıltıcı olacaktır. Mahkeme bu kararları, dava konusu yayının ve başvurucunun ulusal hukuk ile uluslararası aşamada gösterdiği delillerin ve argümanların </w:t>
            </w:r>
            <w:proofErr w:type="gramStart"/>
            <w:r w:rsidRPr="00B4242B">
              <w:rPr>
                <w:rFonts w:ascii="Verdana" w:eastAsia="Times New Roman" w:hAnsi="Verdana" w:cs="Times New Roman"/>
                <w:sz w:val="18"/>
                <w:szCs w:val="18"/>
                <w:lang w:eastAsia="tr-TR"/>
              </w:rPr>
              <w:t>dahil</w:t>
            </w:r>
            <w:proofErr w:type="gramEnd"/>
            <w:r w:rsidRPr="00B4242B">
              <w:rPr>
                <w:rFonts w:ascii="Verdana" w:eastAsia="Times New Roman" w:hAnsi="Verdana" w:cs="Times New Roman"/>
                <w:sz w:val="18"/>
                <w:szCs w:val="18"/>
                <w:lang w:eastAsia="tr-TR"/>
              </w:rPr>
              <w:t xml:space="preserve"> olduğu bütünlük içinde ele almalıdır. Mahkeme elindeki çeşitli verilere dayanarak, ulusal makamların 'müdahale' biçiminde aldıkları önlemleri haklı kılmak için gösterdikleri gerekçelerin, Sözleşme’nin 10(2). </w:t>
            </w:r>
            <w:proofErr w:type="gramStart"/>
            <w:r w:rsidRPr="00B4242B">
              <w:rPr>
                <w:rFonts w:ascii="Verdana" w:eastAsia="Times New Roman" w:hAnsi="Verdana" w:cs="Times New Roman"/>
                <w:sz w:val="18"/>
                <w:szCs w:val="18"/>
                <w:lang w:eastAsia="tr-TR"/>
              </w:rPr>
              <w:t>fıkrası</w:t>
            </w:r>
            <w:proofErr w:type="gramEnd"/>
            <w:r w:rsidRPr="00B4242B">
              <w:rPr>
                <w:rFonts w:ascii="Verdana" w:eastAsia="Times New Roman" w:hAnsi="Verdana" w:cs="Times New Roman"/>
                <w:sz w:val="18"/>
                <w:szCs w:val="18"/>
                <w:lang w:eastAsia="tr-TR"/>
              </w:rPr>
              <w:t xml:space="preserve"> bakımından uygun ve yeterli olup olmadığına karar vermelidir </w:t>
            </w:r>
            <w:r w:rsidRPr="00B4242B">
              <w:rPr>
                <w:rFonts w:ascii="Verdana" w:eastAsia="Times New Roman" w:hAnsi="Verdana" w:cs="Times New Roman"/>
                <w:i/>
                <w:iCs/>
                <w:sz w:val="18"/>
                <w:szCs w:val="18"/>
                <w:lang w:eastAsia="tr-TR"/>
              </w:rPr>
              <w:t xml:space="preserve">(bk. Sözleşme’nin 5(3). </w:t>
            </w:r>
            <w:proofErr w:type="gramStart"/>
            <w:r w:rsidRPr="00B4242B">
              <w:rPr>
                <w:rFonts w:ascii="Verdana" w:eastAsia="Times New Roman" w:hAnsi="Verdana" w:cs="Times New Roman"/>
                <w:i/>
                <w:iCs/>
                <w:sz w:val="18"/>
                <w:szCs w:val="18"/>
                <w:lang w:eastAsia="tr-TR"/>
              </w:rPr>
              <w:t>fıkrası</w:t>
            </w:r>
            <w:proofErr w:type="gramEnd"/>
            <w:r w:rsidRPr="00B4242B">
              <w:rPr>
                <w:rFonts w:ascii="Verdana" w:eastAsia="Times New Roman" w:hAnsi="Verdana" w:cs="Times New Roman"/>
                <w:i/>
                <w:iCs/>
                <w:sz w:val="18"/>
                <w:szCs w:val="18"/>
                <w:lang w:eastAsia="tr-TR"/>
              </w:rPr>
              <w:t xml:space="preserve"> için 27.06.1968 tarihli </w:t>
            </w:r>
            <w:proofErr w:type="spellStart"/>
            <w:r w:rsidRPr="00B4242B">
              <w:rPr>
                <w:rFonts w:ascii="Verdana" w:eastAsia="Times New Roman" w:hAnsi="Verdana" w:cs="Times New Roman"/>
                <w:i/>
                <w:iCs/>
                <w:sz w:val="18"/>
                <w:szCs w:val="18"/>
                <w:lang w:eastAsia="tr-TR"/>
              </w:rPr>
              <w:t>Wemhoff</w:t>
            </w:r>
            <w:proofErr w:type="spellEnd"/>
            <w:r w:rsidRPr="00B4242B">
              <w:rPr>
                <w:rFonts w:ascii="Verdana" w:eastAsia="Times New Roman" w:hAnsi="Verdana" w:cs="Times New Roman"/>
                <w:i/>
                <w:iCs/>
                <w:sz w:val="18"/>
                <w:szCs w:val="18"/>
                <w:lang w:eastAsia="tr-TR"/>
              </w:rPr>
              <w:t xml:space="preserve">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[50]; 10.11.1969 tarihli </w:t>
            </w:r>
            <w:proofErr w:type="spellStart"/>
            <w:r w:rsidRPr="00B4242B">
              <w:rPr>
                <w:rFonts w:ascii="Verdana" w:eastAsia="Times New Roman" w:hAnsi="Verdana" w:cs="Times New Roman"/>
                <w:i/>
                <w:iCs/>
                <w:sz w:val="18"/>
                <w:szCs w:val="18"/>
                <w:lang w:eastAsia="tr-TR"/>
              </w:rPr>
              <w:t>Stögmüller</w:t>
            </w:r>
            <w:proofErr w:type="spellEnd"/>
            <w:r w:rsidRPr="00B4242B">
              <w:rPr>
                <w:rFonts w:ascii="Verdana" w:eastAsia="Times New Roman" w:hAnsi="Verdana" w:cs="Times New Roman"/>
                <w:i/>
                <w:iCs/>
                <w:sz w:val="18"/>
                <w:szCs w:val="18"/>
                <w:lang w:eastAsia="tr-TR"/>
              </w:rPr>
              <w:t xml:space="preserve"> kararı (karar kısmı)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3; 10.11.1969 tarihli </w:t>
            </w:r>
            <w:proofErr w:type="spellStart"/>
            <w:r w:rsidRPr="00B4242B">
              <w:rPr>
                <w:rFonts w:ascii="Verdana" w:eastAsia="Times New Roman" w:hAnsi="Verdana" w:cs="Times New Roman"/>
                <w:i/>
                <w:iCs/>
                <w:sz w:val="18"/>
                <w:szCs w:val="18"/>
                <w:lang w:eastAsia="tr-TR"/>
              </w:rPr>
              <w:t>Matznetter</w:t>
            </w:r>
            <w:proofErr w:type="spellEnd"/>
            <w:r w:rsidRPr="00B4242B">
              <w:rPr>
                <w:rFonts w:ascii="Verdana" w:eastAsia="Times New Roman" w:hAnsi="Verdana" w:cs="Times New Roman"/>
                <w:i/>
                <w:iCs/>
                <w:sz w:val="18"/>
                <w:szCs w:val="18"/>
                <w:lang w:eastAsia="tr-TR"/>
              </w:rPr>
              <w:t xml:space="preserve"> kararı, (karar kısmı)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xml:space="preserve">. </w:t>
            </w:r>
            <w:proofErr w:type="gramStart"/>
            <w:r w:rsidRPr="00B4242B">
              <w:rPr>
                <w:rFonts w:ascii="Verdana" w:eastAsia="Times New Roman" w:hAnsi="Verdana" w:cs="Times New Roman"/>
                <w:i/>
                <w:iCs/>
                <w:sz w:val="18"/>
                <w:szCs w:val="18"/>
                <w:lang w:eastAsia="tr-TR"/>
              </w:rPr>
              <w:t>3;</w:t>
            </w:r>
            <w:proofErr w:type="gramEnd"/>
            <w:r w:rsidRPr="00B4242B">
              <w:rPr>
                <w:rFonts w:ascii="Verdana" w:eastAsia="Times New Roman" w:hAnsi="Verdana" w:cs="Times New Roman"/>
                <w:i/>
                <w:iCs/>
                <w:sz w:val="18"/>
                <w:szCs w:val="18"/>
                <w:lang w:eastAsia="tr-TR"/>
              </w:rPr>
              <w:t xml:space="preserve"> ve 16.07.1971 tarihli </w:t>
            </w:r>
            <w:proofErr w:type="spellStart"/>
            <w:r w:rsidRPr="00B4242B">
              <w:rPr>
                <w:rFonts w:ascii="Verdana" w:eastAsia="Times New Roman" w:hAnsi="Verdana" w:cs="Times New Roman"/>
                <w:i/>
                <w:iCs/>
                <w:sz w:val="18"/>
                <w:szCs w:val="18"/>
                <w:lang w:eastAsia="tr-TR"/>
              </w:rPr>
              <w:t>Ringeisen</w:t>
            </w:r>
            <w:proofErr w:type="spellEnd"/>
            <w:r w:rsidRPr="00B4242B">
              <w:rPr>
                <w:rFonts w:ascii="Verdana" w:eastAsia="Times New Roman" w:hAnsi="Verdana" w:cs="Times New Roman"/>
                <w:i/>
                <w:iCs/>
                <w:sz w:val="18"/>
                <w:szCs w:val="18"/>
                <w:lang w:eastAsia="tr-TR"/>
              </w:rPr>
              <w:t xml:space="preserve"> kararı,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104)</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51. </w:t>
            </w:r>
            <w:r w:rsidRPr="00B4242B">
              <w:rPr>
                <w:rFonts w:ascii="Verdana" w:eastAsia="Times New Roman" w:hAnsi="Verdana" w:cs="Times New Roman"/>
                <w:sz w:val="18"/>
                <w:szCs w:val="18"/>
                <w:lang w:eastAsia="tr-TR"/>
              </w:rPr>
              <w:t xml:space="preserve">Mahkeme yukarıda ortaya koyduğu yöntemi izleyerek,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edilen her bir kararı, özellikle de "Inner </w:t>
            </w:r>
            <w:proofErr w:type="spellStart"/>
            <w:r w:rsidRPr="00B4242B">
              <w:rPr>
                <w:rFonts w:ascii="Verdana" w:eastAsia="Times New Roman" w:hAnsi="Verdana" w:cs="Times New Roman"/>
                <w:sz w:val="18"/>
                <w:szCs w:val="18"/>
                <w:lang w:eastAsia="tr-TR"/>
              </w:rPr>
              <w:t>London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w:t>
            </w:r>
            <w:proofErr w:type="spellEnd"/>
            <w:r w:rsidRPr="00B4242B">
              <w:rPr>
                <w:rFonts w:ascii="Verdana" w:eastAsia="Times New Roman" w:hAnsi="Verdana" w:cs="Times New Roman"/>
                <w:sz w:val="18"/>
                <w:szCs w:val="18"/>
                <w:lang w:eastAsia="tr-TR"/>
              </w:rPr>
              <w:t xml:space="preserve">" mahkemesinin kararını 10(2).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göre dikkatle incelemiştir.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Sözü edilen karar, yukarıda 27-34. paragraflarda özetlenmiştir Mahkeme bu kararı, bir bütün olarak davanın ışığı altında denetlemiştir. Mahkeme aşamasında verilen dilekçelere ve Komisyon’un raporuna ek olarak, Haziran 1973 ile Ağustos 1974 arasında Komisyon’a sunulan dilekçeler, sözlü açıklamalar ve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mahkemesindeki tutanaklar, diğerleriyle birlikte dikkate alınmıştır.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52. </w:t>
            </w:r>
            <w:r w:rsidRPr="00B4242B">
              <w:rPr>
                <w:rFonts w:ascii="Verdana" w:eastAsia="Times New Roman" w:hAnsi="Verdana" w:cs="Times New Roman"/>
                <w:sz w:val="18"/>
                <w:szCs w:val="18"/>
                <w:lang w:eastAsia="tr-TR"/>
              </w:rPr>
              <w:t xml:space="preserve">Mahkeme, 29 Ekim 1971 tarihli kararın dikkat çektiği bir konuya, yani Ders Kitabı'nın hedeflediği okuyucu kitlesine özel bir önem vermektedir. Kitap özellikle on iki yaşından on sekiz yaşına kadar olan büyüme çağındaki çocukları hedeflemiştir. Kitap açık bir dille, olaylara dayalı ve esaslı noktalara indirgenmiş bir tarzda yazılmış olması nedeniyle, bu okuyuculardan en küçüğünün bile kolaylıkla anlayabileceği türdendir. Başvurucu, kitabın geniş bir dağıtımını planladığını açıklamıştır. Başvurucu bir basın bildirisiyle birlikte, eleştiri ve reklam amacıyla, kitabı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günlük gazeteye ve dergiye göndermiştir. Dahası, kitap için mütevazı bir satış fiyatı (otuz peni) belirlemiş, 20 binlik ilk baskıdan sonra 50 binlik ikinci baskıyı hazırlamış ve kitaba okulda kullanılabilecek bir tür elkitabı izlenimi veren bir başlık seçmiştir.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mahkemesinin da kabul ettiği gibi, kitap genellikle doğru ve çoğu kez kullanışlı olan, tamamıyla olaylara dayalı bilgileri kapsamaktadır. Ancak kitapta, özellikle öğrenciler hakkındaki kısmın</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32)</w:t>
            </w:r>
            <w:r w:rsidRPr="00B4242B">
              <w:rPr>
                <w:rFonts w:ascii="Verdana" w:eastAsia="Times New Roman" w:hAnsi="Verdana" w:cs="Times New Roman"/>
                <w:sz w:val="18"/>
                <w:szCs w:val="18"/>
                <w:lang w:eastAsia="tr-TR"/>
              </w:rPr>
              <w:t xml:space="preserve"> cinsellikle ilgili bölümünde ve "Kendi Başınıza" başlıklı pasajda, gelişmelerinin çok önemli bir aşamasında bulunan gençlerin zararlı olgunluk faaliyetlerine alışmaya ve hatta bazı suçları işlemeye teşvik edildikleri biçiminde yorumlayabilecekleri cümlelere ve paragraflara yer verilmektedir. Bu çerçevede Birleşik </w:t>
            </w:r>
            <w:proofErr w:type="spellStart"/>
            <w:r w:rsidRPr="00B4242B">
              <w:rPr>
                <w:rFonts w:ascii="Verdana" w:eastAsia="Times New Roman" w:hAnsi="Verdana" w:cs="Times New Roman"/>
                <w:sz w:val="18"/>
                <w:szCs w:val="18"/>
                <w:lang w:eastAsia="tr-TR"/>
              </w:rPr>
              <w:t>Krallık’ta</w:t>
            </w:r>
            <w:proofErr w:type="spellEnd"/>
            <w:r w:rsidRPr="00B4242B">
              <w:rPr>
                <w:rFonts w:ascii="Verdana" w:eastAsia="Times New Roman" w:hAnsi="Verdana" w:cs="Times New Roman"/>
                <w:sz w:val="18"/>
                <w:szCs w:val="18"/>
                <w:lang w:eastAsia="tr-TR"/>
              </w:rPr>
              <w:t xml:space="preserve"> ahlak ve eğitim konusunda görüşlerin çeşitlenmesine ve sürekli gelişmesine rağmen, yetkili İngiliz yargıçları takdir haklarını kullanırken, Ders Kitabı'nın o sırada onu okuyacak çocukların ve büyüme çağındaki gençlerin </w:t>
            </w:r>
            <w:proofErr w:type="gramStart"/>
            <w:r w:rsidRPr="00B4242B">
              <w:rPr>
                <w:rFonts w:ascii="Verdana" w:eastAsia="Times New Roman" w:hAnsi="Verdana" w:cs="Times New Roman"/>
                <w:sz w:val="18"/>
                <w:szCs w:val="18"/>
                <w:lang w:eastAsia="tr-TR"/>
              </w:rPr>
              <w:t>bir çoğunun</w:t>
            </w:r>
            <w:proofErr w:type="gramEnd"/>
            <w:r w:rsidRPr="00B4242B">
              <w:rPr>
                <w:rFonts w:ascii="Verdana" w:eastAsia="Times New Roman" w:hAnsi="Verdana" w:cs="Times New Roman"/>
                <w:sz w:val="18"/>
                <w:szCs w:val="18"/>
                <w:lang w:eastAsia="tr-TR"/>
              </w:rPr>
              <w:t xml:space="preserve"> ahlaki değerleri üzerinde zararlı etkileri olacağını düşünmekte haklıdırlar.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Öte yandan başvurucu, ‘ahlakın korunması’ ihtiyacının, 1959/1964 tarihli Yasanın ifadesini kullanılacak olursa, ‘baştan çıkartma ve ayartma’ ile ilgili yayınlara karşı mücadelenin, aslında bu davaya bahane olduğunu iddia etmiştir. Başvurucunun iddiasına göre işin gerçeği, siyasi çizgisi kamuoyunun bir bölümü tarafından hoşnutsuzlukla karşılanan küçük bir grup yayıncıya gem vurma girişimidir. Başvurucunun dediğine göre, dava neredeyse ‘histerik’ bir atmosferde açılmış ve aşırı tutucu unsurlar tarafından tahrik edilip canlı tutulmuştur. Başvurucuya göre, Ders Kitabı’nın anti-otoriter yaklaşımı hakkında 29 Ekim 1971 tarihli kararda kullanılan üslup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31)</w:t>
            </w:r>
            <w:r w:rsidRPr="00B4242B">
              <w:rPr>
                <w:rFonts w:ascii="Verdana" w:eastAsia="Times New Roman" w:hAnsi="Verdana" w:cs="Times New Roman"/>
                <w:sz w:val="18"/>
                <w:szCs w:val="18"/>
                <w:lang w:eastAsia="tr-TR"/>
              </w:rPr>
              <w:t>, davanın ardında neyin bulunduğunu tam olarak göstermektedir.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verdiği bilgiye göre halktan gelen mektupların, basındaki yazıların ve Parlamento üyelerinin davranışlarının, Ders Kitabı’na el koyma kararında ve yayıncısı hakkında ceza davası açılmasında etkisiz kalmadıklarını göstermektedir. Öte yandan Hükümet söz konusu girişimlerin, bazı gizli entrikalarla değil fakat geleneksel ahlaki değerlere inanan vatandaşların, 1 Nisan 1971’de piyasaya çıkacak kitaptan alıntıları Mart sonunda gazetelerde okudukları zaman duydukları gerçek heyecan ile açıklanabileceğini belirtmiştir. Hükümet ayrıca, davanın başvurucunun suçladığı kampanyadan aylar sonra sona erdiğini ve başvurucunun bu dönemde kampanyanın sürdüğünü iddia etmediğini belirtmiştir. Hükümet bu gelişmede, kampanyanın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mahkemesindeki serinkanlı müzakereleri hiç bir biçimde bozmadığı sonucuna varmıştır.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 xml:space="preserve">Mahkeme’ye göre, Ders Kitabı’nın anti-otoriter yaklaşımı, 29 Ekim 1971 tarihli mahkeme kararında 1959/1964 tarihli Yasaya aykırı düşecek biçimde ele alınmamıştır. Bu yaklaşım, Üst Mahkemenin kitabın aile, öğretmen, Kilise ve gençlik örgütlerinin </w:t>
            </w:r>
            <w:proofErr w:type="spellStart"/>
            <w:r w:rsidRPr="00B4242B">
              <w:rPr>
                <w:rFonts w:ascii="Verdana" w:eastAsia="Times New Roman" w:hAnsi="Verdana" w:cs="Times New Roman"/>
                <w:sz w:val="18"/>
                <w:szCs w:val="18"/>
                <w:lang w:eastAsia="tr-TR"/>
              </w:rPr>
              <w:t>ılımlılaştırıcı</w:t>
            </w:r>
            <w:proofErr w:type="spellEnd"/>
            <w:r w:rsidRPr="00B4242B">
              <w:rPr>
                <w:rFonts w:ascii="Verdana" w:eastAsia="Times New Roman" w:hAnsi="Verdana" w:cs="Times New Roman"/>
                <w:sz w:val="18"/>
                <w:szCs w:val="18"/>
                <w:lang w:eastAsia="tr-TR"/>
              </w:rPr>
              <w:t xml:space="preserve"> etkisini ortadan kaldırarak ‘baştan çıkarma ve ayartma’ eğilimini şiddetlendirdiğini kabul ettiği ölçüde dikkate alınmıştır. Şu da eklenmelidir ki, anti-otoriter pasajlar, gözden geçirilmiş baskıda tamamıyla ve hatta bazı durumlarda daha kesin ifadelerle yer almış olmasına rağmen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35)</w:t>
            </w:r>
            <w:r w:rsidRPr="00B4242B">
              <w:rPr>
                <w:rFonts w:ascii="Verdana" w:eastAsia="Times New Roman" w:hAnsi="Verdana" w:cs="Times New Roman"/>
                <w:sz w:val="18"/>
                <w:szCs w:val="18"/>
                <w:lang w:eastAsia="tr-TR"/>
              </w:rPr>
              <w:t>, İngiliz yetkililer bu baskının serbestçe dağıtımına izin vermişlerdir. Hükümetin de belirttiği gibi, bu durumu bir siyasal entrika teorisiyle uzlaştırmak zordur.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Böylece Mahkeme, 1959/1964 tarihli Yasayı uygulayan 29 Ekim 1971 tarihli karardaki temel amacın, Sözleşme’nin 10(2).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göre meşru bir maksat olan gençlerin ahlakını korumak olduğunu kabul etmiştir. Bu nedenle, başlamak üzere olan davanın sonuçlarını bekleyen 31 Mart ve 1 Nisan 1971 tarihli el koymalar da aynı amaca yöneliktir.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53. </w:t>
            </w:r>
            <w:r w:rsidRPr="00B4242B">
              <w:rPr>
                <w:rFonts w:ascii="Verdana" w:eastAsia="Times New Roman" w:hAnsi="Verdana" w:cs="Times New Roman"/>
                <w:sz w:val="18"/>
                <w:szCs w:val="18"/>
                <w:lang w:eastAsia="tr-TR"/>
              </w:rPr>
              <w:t>Geriye, sözü edilen el koymalarla başlayan tartışma konusu önlemlerin ‘</w:t>
            </w:r>
            <w:proofErr w:type="spellStart"/>
            <w:r w:rsidRPr="00B4242B">
              <w:rPr>
                <w:rFonts w:ascii="Verdana" w:eastAsia="Times New Roman" w:hAnsi="Verdana" w:cs="Times New Roman"/>
                <w:sz w:val="18"/>
                <w:szCs w:val="18"/>
                <w:lang w:eastAsia="tr-TR"/>
              </w:rPr>
              <w:t>gerekliliği’ni</w:t>
            </w:r>
            <w:proofErr w:type="spellEnd"/>
            <w:r w:rsidRPr="00B4242B">
              <w:rPr>
                <w:rFonts w:ascii="Verdana" w:eastAsia="Times New Roman" w:hAnsi="Verdana" w:cs="Times New Roman"/>
                <w:sz w:val="18"/>
                <w:szCs w:val="18"/>
                <w:lang w:eastAsia="tr-TR"/>
              </w:rPr>
              <w:t xml:space="preserve"> incelemek kalıyor.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Başvurucuya göre el koymanın hedefi, ceza davasında delil olarak kullanılmak üzere bir veya bir kaç kitap olmalıydı. Mahkeme bu görüşe katılmamaktadır: Çünkü polisin geçici bir önlem olarak bütün kitaplara el koymak için gençleri ahlaka karşı tehlikeden korumak gibi sağlam bir gerekçesi vardı. Bu tehlikenin varlığı hakkında karar vermek de dava mahkemesinin görevidir.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Sözleşmeci Devletin konuyla ilgili mevzuatında, 1959/1964 tarihli İngiliz Yasanının 3. maddesinde el koyma için getirilen hükümlerin benzerleri vardır.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54. </w:t>
            </w:r>
            <w:r w:rsidRPr="00B4242B">
              <w:rPr>
                <w:rFonts w:ascii="Verdana" w:eastAsia="Times New Roman" w:hAnsi="Verdana" w:cs="Times New Roman"/>
                <w:sz w:val="18"/>
                <w:szCs w:val="18"/>
                <w:lang w:eastAsia="tr-TR"/>
              </w:rPr>
              <w:t xml:space="preserve">Tartışma konusu </w:t>
            </w:r>
            <w:proofErr w:type="gramStart"/>
            <w:r w:rsidRPr="00B4242B">
              <w:rPr>
                <w:rFonts w:ascii="Verdana" w:eastAsia="Times New Roman" w:hAnsi="Verdana" w:cs="Times New Roman"/>
                <w:sz w:val="18"/>
                <w:szCs w:val="18"/>
                <w:lang w:eastAsia="tr-TR"/>
              </w:rPr>
              <w:t>mahkumiyet</w:t>
            </w:r>
            <w:proofErr w:type="gramEnd"/>
            <w:r w:rsidRPr="00B4242B">
              <w:rPr>
                <w:rFonts w:ascii="Verdana" w:eastAsia="Times New Roman" w:hAnsi="Verdana" w:cs="Times New Roman"/>
                <w:sz w:val="18"/>
                <w:szCs w:val="18"/>
                <w:lang w:eastAsia="tr-TR"/>
              </w:rPr>
              <w:t xml:space="preserve"> kararının ve hak kaybının ‘gerekliliği’ konusunda, başvurucu ve Komisyon azınlığı tarafından, burada belirtilmesi gereken bir dizi gerekçe ileri sürülmüştür.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İlk olarak, Ders Kitabı’nın Kuzey İrlanda’da, Man Adası’nda ve Channel Adaları’nda bir davaya konu olmadığına, 29 Ekim 1971 tarihli karara rağmen binlerce nüshasının İskoçya’da ve hatta İngiltere ve Galler’de hiç bir engelle karşılaşmaksızın dağıtıldığına dikkat çekmişlerdir.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Mahkeme, 1959/1964 tarihli Yasanın 5(3).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göre, bu Yasanın İskoçya ve Kuzey İrlanda’ya uygulanmayacağının farkındadır </w:t>
            </w:r>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25 sonu</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xml:space="preserve">. Hepsinin ötesinde, Sözleşme’nin özellikle 60. maddesinde gösterildiği gibi, Sözleşmeci Devletlerin hiç bir organını, Sözleşme’nin güvence altına aldığı hak ve özgürlükleri sınırlama yükümlülüğü altına sokmadığı unutulmamalıdır. Özellikle de Sözleşme’nin 10(2). </w:t>
            </w:r>
            <w:proofErr w:type="gramStart"/>
            <w:r w:rsidRPr="00B4242B">
              <w:rPr>
                <w:rFonts w:ascii="Verdana" w:eastAsia="Times New Roman" w:hAnsi="Verdana" w:cs="Times New Roman"/>
                <w:sz w:val="18"/>
                <w:szCs w:val="18"/>
                <w:lang w:eastAsia="tr-TR"/>
              </w:rPr>
              <w:t>fıkrası</w:t>
            </w:r>
            <w:proofErr w:type="gramEnd"/>
            <w:r w:rsidRPr="00B4242B">
              <w:rPr>
                <w:rFonts w:ascii="Verdana" w:eastAsia="Times New Roman" w:hAnsi="Verdana" w:cs="Times New Roman"/>
                <w:sz w:val="18"/>
                <w:szCs w:val="18"/>
                <w:lang w:eastAsia="tr-TR"/>
              </w:rPr>
              <w:t>, ifade özgürlüğüyle ilgili bir durumda Devletleri ‘yasaklar’ ve ‘cezalar’ koymaya zorlamamakta, onların kendileri için çözüm yolları bulmalarını engellememektedir </w:t>
            </w:r>
            <w:r w:rsidRPr="00B4242B">
              <w:rPr>
                <w:rFonts w:ascii="Verdana" w:eastAsia="Times New Roman" w:hAnsi="Verdana" w:cs="Times New Roman"/>
                <w:i/>
                <w:iCs/>
                <w:sz w:val="18"/>
                <w:szCs w:val="18"/>
                <w:lang w:eastAsia="tr-TR"/>
              </w:rPr>
              <w:t>(bk. "tabi tutulabilir" ifadesi)</w:t>
            </w:r>
            <w:r w:rsidRPr="00B4242B">
              <w:rPr>
                <w:rFonts w:ascii="Verdana" w:eastAsia="Times New Roman" w:hAnsi="Verdana" w:cs="Times New Roman"/>
                <w:sz w:val="18"/>
                <w:szCs w:val="18"/>
                <w:lang w:eastAsia="tr-TR"/>
              </w:rPr>
              <w:t xml:space="preserve">. İskoçya Mali savcısının İskoçya hukukuna göre </w:t>
            </w:r>
            <w:proofErr w:type="spellStart"/>
            <w:r w:rsidRPr="00B4242B">
              <w:rPr>
                <w:rFonts w:ascii="Verdana" w:eastAsia="Times New Roman" w:hAnsi="Verdana" w:cs="Times New Roman"/>
                <w:sz w:val="18"/>
                <w:szCs w:val="18"/>
                <w:lang w:eastAsia="tr-TR"/>
              </w:rPr>
              <w:t>Stage</w:t>
            </w:r>
            <w:proofErr w:type="spellEnd"/>
            <w:r w:rsidRPr="00B4242B">
              <w:rPr>
                <w:rFonts w:ascii="Verdana" w:eastAsia="Times New Roman" w:hAnsi="Verdana" w:cs="Times New Roman"/>
                <w:sz w:val="18"/>
                <w:szCs w:val="18"/>
                <w:lang w:eastAsia="tr-TR"/>
              </w:rPr>
              <w:t xml:space="preserve"> 1 firmasına karşı açtığı davanın reddedilmesinden sonra, gözden geçirilmiş baskıyla ilgili olarak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19)</w:t>
            </w:r>
            <w:r w:rsidRPr="00B4242B">
              <w:rPr>
                <w:rFonts w:ascii="Verdana" w:eastAsia="Times New Roman" w:hAnsi="Verdana" w:cs="Times New Roman"/>
                <w:sz w:val="18"/>
                <w:szCs w:val="18"/>
                <w:lang w:eastAsia="tr-TR"/>
              </w:rPr>
              <w:t> </w:t>
            </w:r>
            <w:proofErr w:type="spellStart"/>
            <w:r w:rsidRPr="00B4242B">
              <w:rPr>
                <w:rFonts w:ascii="Verdana" w:eastAsia="Times New Roman" w:hAnsi="Verdana" w:cs="Times New Roman"/>
                <w:sz w:val="18"/>
                <w:szCs w:val="18"/>
                <w:lang w:eastAsia="tr-TR"/>
              </w:rPr>
              <w:t>Handyside’ı</w:t>
            </w:r>
            <w:proofErr w:type="spellEnd"/>
            <w:r w:rsidRPr="00B4242B">
              <w:rPr>
                <w:rFonts w:ascii="Verdana" w:eastAsia="Times New Roman" w:hAnsi="Verdana" w:cs="Times New Roman"/>
                <w:sz w:val="18"/>
                <w:szCs w:val="18"/>
                <w:lang w:eastAsia="tr-TR"/>
              </w:rPr>
              <w:t xml:space="preserve"> Edinburgh mahkemesine davet etmemesi gibi, Kuzey İrlanda, Man Adası ve Channel Adaları yetkili makamlarının da o yörenin şartlarına göre, kitap ve yayıncısı aleyhine dava açmamak için makul nedenleri olabilir. Onların, Mahkeme’nin araştırmasını gerektirmeyen ve Ders Kitabı’nın gözden geçirilmiş baskısına karşı İngiltere’de önlem alınmasını engellemeyen bu tutumları, ulusal yetkililerin takdir alanı göz önünde tutulduğunda, 29 Ekim 1971 tarihli kararın gerçek bir ihtiyaca karşılık olmadığını kanıtlamaz. Bu sonuç, </w:t>
            </w:r>
            <w:proofErr w:type="gramStart"/>
            <w:r w:rsidRPr="00B4242B">
              <w:rPr>
                <w:rFonts w:ascii="Verdana" w:eastAsia="Times New Roman" w:hAnsi="Verdana" w:cs="Times New Roman"/>
                <w:sz w:val="18"/>
                <w:szCs w:val="18"/>
                <w:lang w:eastAsia="tr-TR"/>
              </w:rPr>
              <w:t>bir çok</w:t>
            </w:r>
            <w:proofErr w:type="gramEnd"/>
            <w:r w:rsidRPr="00B4242B">
              <w:rPr>
                <w:rFonts w:ascii="Verdana" w:eastAsia="Times New Roman" w:hAnsi="Verdana" w:cs="Times New Roman"/>
                <w:sz w:val="18"/>
                <w:szCs w:val="18"/>
                <w:lang w:eastAsia="tr-TR"/>
              </w:rPr>
              <w:t xml:space="preserve"> nüshanın İngiltere ve Galler’de dağıtılmasına da uygulanır.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55. </w:t>
            </w:r>
            <w:r w:rsidRPr="00B4242B">
              <w:rPr>
                <w:rFonts w:ascii="Verdana" w:eastAsia="Times New Roman" w:hAnsi="Verdana" w:cs="Times New Roman"/>
                <w:sz w:val="18"/>
                <w:szCs w:val="18"/>
                <w:lang w:eastAsia="tr-TR"/>
              </w:rPr>
              <w:t>Başvurucu ve Komisyon azınlığı, gözden geçirilmiş baskının, birinci baskıdan sadece küçük bir farklılık taşımasına rağmen, İngiltere ve Galler’de dava konusu olmadığını belirtmişlerdir.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Hükümet, başvurucunun ve Komisyon azınlığının Ders Kitabı’nın ilk metninde yapılan değişikliklerin boyutunu önemsiz gösterdiklerini iddia etmiştir: Hükümete göre değişiklikler, ilk </w:t>
            </w:r>
            <w:proofErr w:type="gramStart"/>
            <w:r w:rsidRPr="00B4242B">
              <w:rPr>
                <w:rFonts w:ascii="Verdana" w:eastAsia="Times New Roman" w:hAnsi="Verdana" w:cs="Times New Roman"/>
                <w:sz w:val="18"/>
                <w:szCs w:val="18"/>
                <w:lang w:eastAsia="tr-TR"/>
              </w:rPr>
              <w:t>mahkumiyet</w:t>
            </w:r>
            <w:proofErr w:type="gramEnd"/>
            <w:r w:rsidRPr="00B4242B">
              <w:rPr>
                <w:rFonts w:ascii="Verdana" w:eastAsia="Times New Roman" w:hAnsi="Verdana" w:cs="Times New Roman"/>
                <w:sz w:val="18"/>
                <w:szCs w:val="18"/>
                <w:lang w:eastAsia="tr-TR"/>
              </w:rPr>
              <w:t xml:space="preserve"> kararının verildiği 1 Temmuz 1971 tarihi ile Üst Mahkemenin karar verdiği 29 Ekim 1971 tarihi arasında yapılmış olmasına rağmen,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mahkemesinin ‘baştan çıkarma ve ayartma’ eğilimini kanıtlamak için aktardığı belli başlı pasajlar üzerinde yapılmıştır. Hükümet, yapılan değişikliklerin savcıyı yeniden 1959/1964 tarihli Yasaya göre dava açmaktan vazgeçirmiş olabileceğini ileri sürmüştür.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Mahkeme’nin görüşüne göre, tartışma konusu olan noktalarda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22-23, 35</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sz w:val="18"/>
                <w:szCs w:val="18"/>
                <w:lang w:eastAsia="tr-TR"/>
              </w:rPr>
              <w:t>, ilk baskıdan gerçekten önemli ölçüde farklılaşan gözden geçirilmiş baskıya karşı davanın açılmaması, yetkili makamların Sözleşme’nin 10. maddesine uygun biçimde kendilerini çok ‘gerekli’ olanla sınırlamak istediklerini göstermektedir.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56. </w:t>
            </w:r>
            <w:r w:rsidRPr="00B4242B">
              <w:rPr>
                <w:rFonts w:ascii="Verdana" w:eastAsia="Times New Roman" w:hAnsi="Verdana" w:cs="Times New Roman"/>
                <w:sz w:val="18"/>
                <w:szCs w:val="18"/>
                <w:lang w:eastAsia="tr-TR"/>
              </w:rPr>
              <w:t xml:space="preserve">Başvurucuya ve Komisyon azınlığına göre, Ders Kitabı’nın ve yayıncısının 1971’de karşılaştığı muamele, Birleşik </w:t>
            </w:r>
            <w:proofErr w:type="spellStart"/>
            <w:r w:rsidRPr="00B4242B">
              <w:rPr>
                <w:rFonts w:ascii="Verdana" w:eastAsia="Times New Roman" w:hAnsi="Verdana" w:cs="Times New Roman"/>
                <w:sz w:val="18"/>
                <w:szCs w:val="18"/>
                <w:lang w:eastAsia="tr-TR"/>
              </w:rPr>
              <w:t>Krallık’ta</w:t>
            </w:r>
            <w:proofErr w:type="spellEnd"/>
            <w:r w:rsidRPr="00B4242B">
              <w:rPr>
                <w:rFonts w:ascii="Verdana" w:eastAsia="Times New Roman" w:hAnsi="Verdana" w:cs="Times New Roman"/>
                <w:sz w:val="18"/>
                <w:szCs w:val="18"/>
                <w:lang w:eastAsia="tr-TR"/>
              </w:rPr>
              <w:t xml:space="preserve"> aşırı ölçüde gösterilen bir hoşgörüyle, sözde yararlı bulunan ve aslında pornografinin tam göbeğinde yer alan, entelektüel ve sanatsal temelden yoksun yayın bolluğuna göre çok daha az ‘</w:t>
            </w:r>
            <w:proofErr w:type="spellStart"/>
            <w:r w:rsidRPr="00B4242B">
              <w:rPr>
                <w:rFonts w:ascii="Verdana" w:eastAsia="Times New Roman" w:hAnsi="Verdana" w:cs="Times New Roman"/>
                <w:sz w:val="18"/>
                <w:szCs w:val="18"/>
                <w:lang w:eastAsia="tr-TR"/>
              </w:rPr>
              <w:t>gerekli’dir</w:t>
            </w:r>
            <w:proofErr w:type="spellEnd"/>
            <w:r w:rsidRPr="00B4242B">
              <w:rPr>
                <w:rFonts w:ascii="Verdana" w:eastAsia="Times New Roman" w:hAnsi="Verdana" w:cs="Times New Roman"/>
                <w:sz w:val="18"/>
                <w:szCs w:val="18"/>
                <w:lang w:eastAsia="tr-TR"/>
              </w:rPr>
              <w:t xml:space="preserve">. Ayrıca, bu yayınların yoldan geçenlerin, özellikle gençlerin görmesi için sergilendiğini ve bunlara karşı nadiren açılan ceza davalarının </w:t>
            </w:r>
            <w:r w:rsidRPr="00B4242B">
              <w:rPr>
                <w:rFonts w:ascii="Verdana" w:eastAsia="Times New Roman" w:hAnsi="Verdana" w:cs="Times New Roman"/>
                <w:sz w:val="18"/>
                <w:szCs w:val="18"/>
                <w:lang w:eastAsia="tr-TR"/>
              </w:rPr>
              <w:lastRenderedPageBreak/>
              <w:t xml:space="preserve">jüriler tarafından büyük bir hoşgörü gösterilmesi nedeniyle boş bir çabaya dönüştüğünü, bunların genellikle tam bir muafiyetten yararlandıklarını öne sürmüşlerdir. Aynı şeylerin, seks </w:t>
            </w:r>
            <w:proofErr w:type="gramStart"/>
            <w:r w:rsidRPr="00B4242B">
              <w:rPr>
                <w:rFonts w:ascii="Verdana" w:eastAsia="Times New Roman" w:hAnsi="Verdana" w:cs="Times New Roman"/>
                <w:sz w:val="18"/>
                <w:szCs w:val="18"/>
                <w:lang w:eastAsia="tr-TR"/>
              </w:rPr>
              <w:t>dükkanları</w:t>
            </w:r>
            <w:proofErr w:type="gramEnd"/>
            <w:r w:rsidRPr="00B4242B">
              <w:rPr>
                <w:rFonts w:ascii="Verdana" w:eastAsia="Times New Roman" w:hAnsi="Verdana" w:cs="Times New Roman"/>
                <w:sz w:val="18"/>
                <w:szCs w:val="18"/>
                <w:lang w:eastAsia="tr-TR"/>
              </w:rPr>
              <w:t xml:space="preserve"> ve kamuya açık bir çok eğlence yerleri için de geçerli olduğunu iddia etmişlerdir.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Bu iddialara karşı Hükümet, bu alanda personel kaynağı olarak uzmanlaşmış bir ekibin yetersiz olmasına rağmen, polisin ve savcıların hareketsiz kalmadığını grafiklerle destekleyerek belirtmiştir. Açılan davalara ek olarak, el koymaların genellikle çekişmesiz yargılama usulünün ("</w:t>
            </w:r>
            <w:proofErr w:type="spellStart"/>
            <w:r w:rsidRPr="00B4242B">
              <w:rPr>
                <w:rFonts w:ascii="Verdana" w:eastAsia="Times New Roman" w:hAnsi="Verdana" w:cs="Times New Roman"/>
                <w:sz w:val="18"/>
                <w:szCs w:val="18"/>
                <w:lang w:eastAsia="tr-TR"/>
              </w:rPr>
              <w:t>disclaimer</w:t>
            </w:r>
            <w:proofErr w:type="spellEnd"/>
            <w:r w:rsidRPr="00B4242B">
              <w:rPr>
                <w:rFonts w:ascii="Verdana" w:eastAsia="Times New Roman" w:hAnsi="Verdana" w:cs="Times New Roman"/>
                <w:sz w:val="18"/>
                <w:szCs w:val="18"/>
                <w:lang w:eastAsia="tr-TR"/>
              </w:rPr>
              <w:t>/</w:t>
            </w:r>
            <w:proofErr w:type="spellStart"/>
            <w:r w:rsidRPr="00B4242B">
              <w:rPr>
                <w:rFonts w:ascii="Verdana" w:eastAsia="Times New Roman" w:hAnsi="Verdana" w:cs="Times New Roman"/>
                <w:sz w:val="18"/>
                <w:szCs w:val="18"/>
                <w:lang w:eastAsia="tr-TR"/>
              </w:rPr>
              <w:t>caution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procedure</w:t>
            </w:r>
            <w:proofErr w:type="spellEnd"/>
            <w:r w:rsidRPr="00B4242B">
              <w:rPr>
                <w:rFonts w:ascii="Verdana" w:eastAsia="Times New Roman" w:hAnsi="Verdana" w:cs="Times New Roman"/>
                <w:sz w:val="18"/>
                <w:szCs w:val="18"/>
                <w:lang w:eastAsia="tr-TR"/>
              </w:rPr>
              <w:t>") uygun olduğu durumlarda yapıldığını öne sürmüştür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26)</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Görünürde aynı koşullara sahip olsalar bile, kural olarak, iddia makamları ile mahkemelerin birbirinden farklı kararlarını karşılaştırmak, Mahkeme’nin görevi değildir. Mahkeme, tıpkı davalı Hükümet gibi, mahkemelerin bağımsızlığına saygı göstermek zorundadır. Ayrıca Mahkeme, birbirine benzer durumlarla karşı karşıya değildir: Hükümetin de işaret ettiği gibi dosyadaki belgeler, söz konusu yayınların ve eğlencelerin, Ders Kitabı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52)</w:t>
            </w:r>
            <w:r w:rsidRPr="00B4242B">
              <w:rPr>
                <w:rFonts w:ascii="Verdana" w:eastAsia="Times New Roman" w:hAnsi="Verdana" w:cs="Times New Roman"/>
                <w:sz w:val="18"/>
                <w:szCs w:val="18"/>
                <w:lang w:eastAsia="tr-TR"/>
              </w:rPr>
              <w:t> gibi ona ulaşmaya hazır çocukları ve yetişme çağında olanları amaçladığını göstermemektedir.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57. </w:t>
            </w:r>
            <w:r w:rsidRPr="00B4242B">
              <w:rPr>
                <w:rFonts w:ascii="Verdana" w:eastAsia="Times New Roman" w:hAnsi="Verdana" w:cs="Times New Roman"/>
                <w:sz w:val="18"/>
                <w:szCs w:val="18"/>
                <w:lang w:eastAsia="tr-TR"/>
              </w:rPr>
              <w:t>Başvurucu ve Komisyon azınlığı bir başka nokta üzerinde daha durmuşlardır: ‘Ders Kitabı’nın Danimarka dilindeki orijinal baskısıyla birlikte çevirileri, Avrupa Konseyi’ne üye ülkelerin çoğunluğunda serbestçe dağıtılmış ve satılmıştır.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Yine burada, ulusal takdir alanı ile 10(2).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dayanan ‘</w:t>
            </w:r>
            <w:proofErr w:type="spellStart"/>
            <w:r w:rsidRPr="00B4242B">
              <w:rPr>
                <w:rFonts w:ascii="Verdana" w:eastAsia="Times New Roman" w:hAnsi="Verdana" w:cs="Times New Roman"/>
                <w:sz w:val="18"/>
                <w:szCs w:val="18"/>
                <w:lang w:eastAsia="tr-TR"/>
              </w:rPr>
              <w:t>yasaklar’ın</w:t>
            </w:r>
            <w:proofErr w:type="spellEnd"/>
            <w:r w:rsidRPr="00B4242B">
              <w:rPr>
                <w:rFonts w:ascii="Verdana" w:eastAsia="Times New Roman" w:hAnsi="Verdana" w:cs="Times New Roman"/>
                <w:sz w:val="18"/>
                <w:szCs w:val="18"/>
                <w:lang w:eastAsia="tr-TR"/>
              </w:rPr>
              <w:t xml:space="preserve"> ve ‘</w:t>
            </w:r>
            <w:proofErr w:type="spellStart"/>
            <w:r w:rsidRPr="00B4242B">
              <w:rPr>
                <w:rFonts w:ascii="Verdana" w:eastAsia="Times New Roman" w:hAnsi="Verdana" w:cs="Times New Roman"/>
                <w:sz w:val="18"/>
                <w:szCs w:val="18"/>
                <w:lang w:eastAsia="tr-TR"/>
              </w:rPr>
              <w:t>cezalar’ın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seçilebilirlik</w:t>
            </w:r>
            <w:proofErr w:type="spellEnd"/>
            <w:r w:rsidRPr="00B4242B">
              <w:rPr>
                <w:rFonts w:ascii="Verdana" w:eastAsia="Times New Roman" w:hAnsi="Verdana" w:cs="Times New Roman"/>
                <w:sz w:val="18"/>
                <w:szCs w:val="18"/>
                <w:lang w:eastAsia="tr-TR"/>
              </w:rPr>
              <w:t xml:space="preserve"> özelliği, Mahkeme’nin bu argümanı kabul etmesini engellemektedir. Her bir Sözleşmeci Devlet, kendi ülkesinin koşulları altında kendi yaklaşımını biçimlendirmiş; her bir Devlet, demokratik bir toplumda ahlakın korunması için gerekenler hakkında geçerli olan değişik görüşlere sahip olmuştur. Diğer Devletlerin kitabın dağıtılmasına izin vermiş olması, "Inner </w:t>
            </w:r>
            <w:proofErr w:type="spellStart"/>
            <w:r w:rsidRPr="00B4242B">
              <w:rPr>
                <w:rFonts w:ascii="Verdana" w:eastAsia="Times New Roman" w:hAnsi="Verdana" w:cs="Times New Roman"/>
                <w:sz w:val="18"/>
                <w:szCs w:val="18"/>
                <w:lang w:eastAsia="tr-TR"/>
              </w:rPr>
              <w:t>London</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Quarter</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Sessions</w:t>
            </w:r>
            <w:proofErr w:type="spellEnd"/>
            <w:r w:rsidRPr="00B4242B">
              <w:rPr>
                <w:rFonts w:ascii="Verdana" w:eastAsia="Times New Roman" w:hAnsi="Verdana" w:cs="Times New Roman"/>
                <w:sz w:val="18"/>
                <w:szCs w:val="18"/>
                <w:lang w:eastAsia="tr-TR"/>
              </w:rPr>
              <w:t>" mahkemesinin verdiği kararın 10. maddeye aykırı olduğu anlamına gelmez. Kaldı ki, kitabın Birleşik Krallık dışında yayınlanan bazı baskıları, ‘baştan çıkarma ve ayartma’ eğilimine çarpıcı örnekler olarak 29 Ekim 1971 tarihli kararda aktarılan pasajları ve başka bazı pasajları içermemektedir.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58. </w:t>
            </w:r>
            <w:r w:rsidRPr="00B4242B">
              <w:rPr>
                <w:rFonts w:ascii="Verdana" w:eastAsia="Times New Roman" w:hAnsi="Verdana" w:cs="Times New Roman"/>
                <w:sz w:val="18"/>
                <w:szCs w:val="18"/>
                <w:lang w:eastAsia="tr-TR"/>
              </w:rPr>
              <w:t xml:space="preserve">Son olarak, 5 Haziran 1976’daki duruşmada Komisyon azınlığının görüşünü dile getiren Temsilci, davalı Devletin her halükarda </w:t>
            </w: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w:t>
            </w:r>
            <w:proofErr w:type="gramStart"/>
            <w:r w:rsidRPr="00B4242B">
              <w:rPr>
                <w:rFonts w:ascii="Verdana" w:eastAsia="Times New Roman" w:hAnsi="Verdana" w:cs="Times New Roman"/>
                <w:sz w:val="18"/>
                <w:szCs w:val="18"/>
                <w:lang w:eastAsia="tr-TR"/>
              </w:rPr>
              <w:t>mahkumiyetine</w:t>
            </w:r>
            <w:proofErr w:type="gramEnd"/>
            <w:r w:rsidRPr="00B4242B">
              <w:rPr>
                <w:rFonts w:ascii="Verdana" w:eastAsia="Times New Roman" w:hAnsi="Verdana" w:cs="Times New Roman"/>
                <w:sz w:val="18"/>
                <w:szCs w:val="18"/>
                <w:lang w:eastAsia="tr-TR"/>
              </w:rPr>
              <w:t xml:space="preserve">, Ders Kitabı üzerinde hak kaybına ve daha sonra imhasına yol açan ceza davasını başlatmak gibi sert önlemleri almak ihtiyacında bulunmadığını iddia etmiştir. Temsilciye göre Birleşik Krallık, başvurucudan kitabı oto sansürden geçirmesini veya satışını ve reklamını azaltmasını istemediği ve daha sınırlı bir davranışta bulunmadığı için, ‘gereklilik’ sıfatının özünde </w:t>
            </w:r>
            <w:proofErr w:type="spellStart"/>
            <w:r w:rsidRPr="00B4242B">
              <w:rPr>
                <w:rFonts w:ascii="Verdana" w:eastAsia="Times New Roman" w:hAnsi="Verdana" w:cs="Times New Roman"/>
                <w:sz w:val="18"/>
                <w:szCs w:val="18"/>
                <w:lang w:eastAsia="tr-TR"/>
              </w:rPr>
              <w:t>varolan</w:t>
            </w:r>
            <w:proofErr w:type="spellEnd"/>
            <w:r w:rsidRPr="00B4242B">
              <w:rPr>
                <w:rFonts w:ascii="Verdana" w:eastAsia="Times New Roman" w:hAnsi="Verdana" w:cs="Times New Roman"/>
                <w:sz w:val="18"/>
                <w:szCs w:val="18"/>
                <w:lang w:eastAsia="tr-TR"/>
              </w:rPr>
              <w:t xml:space="preserve"> orantılılık ilkesini ihlal etmiştir.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Hükümetin birinci noktaya ilişkin savunmasına göre, eğer 1 Nisan 1971’den önce Hükümet başvurucudan Ders Kitabı’nı biraz değiştirmesini isteseydi veya böyle bir şeyi emretseydi, başvurucu hiçbir suretle bunu yerine getirmeyecekti: Başvurucu kitabın ‘müstehcenliğine’ sert bir biçimde karşı koymamış mıydı? Mahkeme, Sözleşme’nin 10. maddesinin, Sözleşmeci Devletleri kesinlikle bu tür bir sansür uygulamaya zorlamadığı kanısına varmıştır.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İkinci noktaya ilişkin olarak Hükümet, bunun İngiliz hukukunda mümkün olup olmadığı hakkında açıklamada bulunmamıştır. Ancak bu çözümün de bu davada yerinde olmadığı görülmektedir: Özellikle gençleri hedeflemiş bir kitabın satışını yetişkinlerle sınırlamasının bir anlamı kalmayacaktı; o zaman Ders Kitabı, başvurucunun varlık nedeni olarak kabul ettiği özünü kaybedecekti. Kaldı ki, başvurucu da bu sorundan bahsetmemiştir.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59. </w:t>
            </w:r>
            <w:r w:rsidRPr="00B4242B">
              <w:rPr>
                <w:rFonts w:ascii="Verdana" w:eastAsia="Times New Roman" w:hAnsi="Verdana" w:cs="Times New Roman"/>
                <w:sz w:val="18"/>
                <w:szCs w:val="18"/>
                <w:lang w:eastAsia="tr-TR"/>
              </w:rPr>
              <w:t>Toplanan deliller karşısında Mahkeme, bu dava bakımından 10. madde hükümlerine aykırılık bulunduğunun kanıtlanamadığı sonucuna ulaşmıştır.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II. Birinci Protokolün 1. maddesinin ihlali iddiası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60. </w:t>
            </w:r>
            <w:r w:rsidRPr="00B4242B">
              <w:rPr>
                <w:rFonts w:ascii="Verdana" w:eastAsia="Times New Roman" w:hAnsi="Verdana" w:cs="Times New Roman"/>
                <w:sz w:val="18"/>
                <w:szCs w:val="18"/>
                <w:lang w:eastAsia="tr-TR"/>
              </w:rPr>
              <w:t>Başvurucu ikinci olarak, Birinci Protokolün 1. maddesine aykırılık bulunduğunu iddia etmektedir. Madde hükmü şöyledir: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Her gerçek ve tüzel kişi, maliki olduğu şeyleri barışçıl yoldan kullanma hakkına sahiptir. Kanunun veya uluslararası hukukun genel ilkelerinin öngördüğü şartlar dışında ve kamu yararı gerektirmedikçe, hiç kimse mülkiyetinden yoksun bırakılamaz.</w:t>
            </w:r>
          </w:p>
          <w:p w:rsidR="00B4242B" w:rsidRPr="00B4242B" w:rsidRDefault="00B4242B" w:rsidP="00B4242B">
            <w:pPr>
              <w:shd w:val="clear" w:color="auto" w:fill="7070FF"/>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Yukarıdaki hükümler hiç bir biçimde mülkiyetin genel yarara uygun olarak kullanılmasını denetim altına almak, vergiler ile diğer harç veya cezaların ödenmesini sağlamak için Devletin gerekli gördüğü yasaları yürürlüğe koyma yetkisini ortadan kaldırmaz.</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lastRenderedPageBreak/>
              <w:t>61. 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biri 31 Mart ve 1 Nisan tarihli kararların Ders Kitabı’nın matrislerine ve yüzlerce nüshasına el koyulması; diğeri, 29 Ekim 1971 tarihli kararla hak kaybı ve kitapların imhası olmak üzere iki ayrı tasarrufla ilgilidir. Her iki tasarruf da, </w:t>
            </w: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‘maliki olduğu şeyleri barışçı yoldan kullanma’ hakkına müdahaledir. Hükümet, bunun bir müdahale olduğuna itiraz etmemekte, ancak Komisyon çoğunluğuna katılarak önlemlerin, Birinci Protokolün 1. maddesinin birinci cümlesindeki kurala eklenen istisnalara göre haklı olduğunu ileri sürmektedir.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62. </w:t>
            </w:r>
            <w:proofErr w:type="gramStart"/>
            <w:r w:rsidRPr="00B4242B">
              <w:rPr>
                <w:rFonts w:ascii="Verdana" w:eastAsia="Times New Roman" w:hAnsi="Verdana" w:cs="Times New Roman"/>
                <w:sz w:val="18"/>
                <w:szCs w:val="18"/>
                <w:lang w:eastAsia="tr-TR"/>
              </w:rPr>
              <w:t>Şikayet</w:t>
            </w:r>
            <w:proofErr w:type="gramEnd"/>
            <w:r w:rsidRPr="00B4242B">
              <w:rPr>
                <w:rFonts w:ascii="Verdana" w:eastAsia="Times New Roman" w:hAnsi="Verdana" w:cs="Times New Roman"/>
                <w:sz w:val="18"/>
                <w:szCs w:val="18"/>
                <w:lang w:eastAsia="tr-TR"/>
              </w:rPr>
              <w:t xml:space="preserve"> edilen el koyma geçicidir. El koyma, başvurucunun, </w:t>
            </w:r>
            <w:proofErr w:type="spellStart"/>
            <w:r w:rsidRPr="00B4242B">
              <w:rPr>
                <w:rFonts w:ascii="Verdana" w:eastAsia="Times New Roman" w:hAnsi="Verdana" w:cs="Times New Roman"/>
                <w:sz w:val="18"/>
                <w:szCs w:val="18"/>
                <w:lang w:eastAsia="tr-TR"/>
              </w:rPr>
              <w:t>malikliğini</w:t>
            </w:r>
            <w:proofErr w:type="spellEnd"/>
            <w:r w:rsidRPr="00B4242B">
              <w:rPr>
                <w:rFonts w:ascii="Verdana" w:eastAsia="Times New Roman" w:hAnsi="Verdana" w:cs="Times New Roman"/>
                <w:sz w:val="18"/>
                <w:szCs w:val="18"/>
                <w:lang w:eastAsia="tr-TR"/>
              </w:rPr>
              <w:t xml:space="preserve"> sürdürdüğü mal ve mülkünü belirli bir süre dilediği gibi kullanabilmesini önlemekten başka bir şey değildir; hakkında açılan dava beraatla sonuçlandığında, onları geri alacaktır.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 koşullarda Mahkeme, 1(1). </w:t>
            </w:r>
            <w:proofErr w:type="gramStart"/>
            <w:r w:rsidRPr="00B4242B">
              <w:rPr>
                <w:rFonts w:ascii="Verdana" w:eastAsia="Times New Roman" w:hAnsi="Verdana" w:cs="Times New Roman"/>
                <w:sz w:val="18"/>
                <w:szCs w:val="18"/>
                <w:lang w:eastAsia="tr-TR"/>
              </w:rPr>
              <w:t>fıkrasının</w:t>
            </w:r>
            <w:proofErr w:type="gramEnd"/>
            <w:r w:rsidRPr="00B4242B">
              <w:rPr>
                <w:rFonts w:ascii="Verdana" w:eastAsia="Times New Roman" w:hAnsi="Verdana" w:cs="Times New Roman"/>
                <w:sz w:val="18"/>
                <w:szCs w:val="18"/>
                <w:lang w:eastAsia="tr-TR"/>
              </w:rPr>
              <w:t xml:space="preserve"> ikinci cümlesinin, bu davada uygulama yeri bulunmadığını düşünmektedir. İngilizce metindeki "mülkiyetinden yoksun bırakma" ifadesi, tersini düşünmeye yol açabilir. Ancak Fransızca olarak bir Belçika değişiklik önerisinden kaynaklanan 1. maddenin yapısı, bu cümlenin sadece "</w:t>
            </w:r>
            <w:proofErr w:type="spellStart"/>
            <w:r w:rsidRPr="00B4242B">
              <w:rPr>
                <w:rFonts w:ascii="Verdana" w:eastAsia="Times New Roman" w:hAnsi="Verdana" w:cs="Times New Roman"/>
                <w:sz w:val="18"/>
                <w:szCs w:val="18"/>
                <w:lang w:eastAsia="tr-TR"/>
              </w:rPr>
              <w:t>malikliğinden</w:t>
            </w:r>
            <w:proofErr w:type="spellEnd"/>
            <w:r w:rsidRPr="00B4242B">
              <w:rPr>
                <w:rFonts w:ascii="Verdana" w:eastAsia="Times New Roman" w:hAnsi="Verdana" w:cs="Times New Roman"/>
                <w:sz w:val="18"/>
                <w:szCs w:val="18"/>
                <w:lang w:eastAsia="tr-TR"/>
              </w:rPr>
              <w:t xml:space="preserve"> yoksun bırakılan kişiye ("</w:t>
            </w:r>
            <w:proofErr w:type="spellStart"/>
            <w:r w:rsidRPr="00B4242B">
              <w:rPr>
                <w:rFonts w:ascii="Verdana" w:eastAsia="Times New Roman" w:hAnsi="Verdana" w:cs="Times New Roman"/>
                <w:sz w:val="18"/>
                <w:szCs w:val="18"/>
                <w:lang w:eastAsia="tr-TR"/>
              </w:rPr>
              <w:t>privé</w:t>
            </w:r>
            <w:proofErr w:type="spellEnd"/>
            <w:r w:rsidRPr="00B4242B">
              <w:rPr>
                <w:rFonts w:ascii="Verdana" w:eastAsia="Times New Roman" w:hAnsi="Verdana" w:cs="Times New Roman"/>
                <w:sz w:val="18"/>
                <w:szCs w:val="18"/>
                <w:lang w:eastAsia="tr-TR"/>
              </w:rPr>
              <w:t xml:space="preserve"> de </w:t>
            </w:r>
            <w:proofErr w:type="spellStart"/>
            <w:r w:rsidRPr="00B4242B">
              <w:rPr>
                <w:rFonts w:ascii="Verdana" w:eastAsia="Times New Roman" w:hAnsi="Verdana" w:cs="Times New Roman"/>
                <w:sz w:val="18"/>
                <w:szCs w:val="18"/>
                <w:lang w:eastAsia="tr-TR"/>
              </w:rPr>
              <w:t>sa</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propriété</w:t>
            </w:r>
            <w:proofErr w:type="spellEnd"/>
            <w:r w:rsidRPr="00B4242B">
              <w:rPr>
                <w:rFonts w:ascii="Verdana" w:eastAsia="Times New Roman" w:hAnsi="Verdana" w:cs="Times New Roman"/>
                <w:sz w:val="18"/>
                <w:szCs w:val="18"/>
                <w:lang w:eastAsia="tr-TR"/>
              </w:rPr>
              <w:t>") uygulanacağını göstermektedir (</w:t>
            </w:r>
            <w:proofErr w:type="spellStart"/>
            <w:r w:rsidRPr="00B4242B">
              <w:rPr>
                <w:rFonts w:ascii="Verdana" w:eastAsia="Times New Roman" w:hAnsi="Verdana" w:cs="Times New Roman"/>
                <w:sz w:val="18"/>
                <w:szCs w:val="18"/>
                <w:lang w:eastAsia="tr-TR"/>
              </w:rPr>
              <w:t>Collected</w:t>
            </w:r>
            <w:proofErr w:type="spellEnd"/>
            <w:r w:rsidRPr="00B4242B">
              <w:rPr>
                <w:rFonts w:ascii="Verdana" w:eastAsia="Times New Roman" w:hAnsi="Verdana" w:cs="Times New Roman"/>
                <w:sz w:val="18"/>
                <w:szCs w:val="18"/>
                <w:lang w:eastAsia="tr-TR"/>
              </w:rPr>
              <w:t xml:space="preserve"> Edition of </w:t>
            </w:r>
            <w:proofErr w:type="spellStart"/>
            <w:r w:rsidRPr="00B4242B">
              <w:rPr>
                <w:rFonts w:ascii="Verdana" w:eastAsia="Times New Roman" w:hAnsi="Verdana" w:cs="Times New Roman"/>
                <w:sz w:val="18"/>
                <w:szCs w:val="18"/>
                <w:lang w:eastAsia="tr-TR"/>
              </w:rPr>
              <w:t>the</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travaux</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préparatoires</w:t>
            </w:r>
            <w:proofErr w:type="spellEnd"/>
            <w:r w:rsidRPr="00B4242B">
              <w:rPr>
                <w:rFonts w:ascii="Verdana" w:eastAsia="Times New Roman" w:hAnsi="Verdana" w:cs="Times New Roman"/>
                <w:sz w:val="18"/>
                <w:szCs w:val="18"/>
                <w:lang w:eastAsia="tr-TR"/>
              </w:rPr>
              <w:t xml:space="preserve">", </w:t>
            </w:r>
            <w:proofErr w:type="spellStart"/>
            <w:r w:rsidRPr="00B4242B">
              <w:rPr>
                <w:rFonts w:ascii="Verdana" w:eastAsia="Times New Roman" w:hAnsi="Verdana" w:cs="Times New Roman"/>
                <w:sz w:val="18"/>
                <w:szCs w:val="18"/>
                <w:lang w:eastAsia="tr-TR"/>
              </w:rPr>
              <w:t>document</w:t>
            </w:r>
            <w:proofErr w:type="spellEnd"/>
            <w:r w:rsidRPr="00B4242B">
              <w:rPr>
                <w:rFonts w:ascii="Verdana" w:eastAsia="Times New Roman" w:hAnsi="Verdana" w:cs="Times New Roman"/>
                <w:sz w:val="18"/>
                <w:szCs w:val="18"/>
                <w:lang w:eastAsia="tr-TR"/>
              </w:rPr>
              <w:t xml:space="preserve"> H (61) 4, s.1083, 1084, 1086, 1090, 1099,1105, 1105, 1110-1111 ve 1113-1114).</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Diğer yandan el koyma, ‘mülkiyetin kullanımı’ ile ilgili olup, ikinci fıkranın alanına girmektedir. Bu fıkra, Sözleşme’nin 10(2). </w:t>
            </w:r>
            <w:proofErr w:type="gramStart"/>
            <w:r w:rsidRPr="00B4242B">
              <w:rPr>
                <w:rFonts w:ascii="Verdana" w:eastAsia="Times New Roman" w:hAnsi="Verdana" w:cs="Times New Roman"/>
                <w:sz w:val="18"/>
                <w:szCs w:val="18"/>
                <w:lang w:eastAsia="tr-TR"/>
              </w:rPr>
              <w:t>fıkrasının</w:t>
            </w:r>
            <w:proofErr w:type="gramEnd"/>
            <w:r w:rsidRPr="00B4242B">
              <w:rPr>
                <w:rFonts w:ascii="Verdana" w:eastAsia="Times New Roman" w:hAnsi="Verdana" w:cs="Times New Roman"/>
                <w:sz w:val="18"/>
                <w:szCs w:val="18"/>
                <w:lang w:eastAsia="tr-TR"/>
              </w:rPr>
              <w:t xml:space="preserve"> tersine, müdahalenin ‘gerekliliği’ konusunda Sözleşmeci Devletleri tek karar makamı haline getirmektedir. Bu nedenle Mahkeme kendini, söz konusu yasaklamanın amaç ve hukukiliğinin denetlenmesiyle sınırlamalıdır. Mahkeme itiraz konusu tasarrufun, 1959/1964 tarihli Yasanın 3. maddesine göre ve hukuka uygunluğu itiraz konusu olmayan bir yargılamadan sonra yapıldığını tespit etmiştir. Ayrıca el koymanın amacı, yetkili İngiliz makamlarının takdir yetkilerini kullanırken anladığı gibi, "ahlakı </w:t>
            </w:r>
            <w:proofErr w:type="spellStart"/>
            <w:r w:rsidRPr="00B4242B">
              <w:rPr>
                <w:rFonts w:ascii="Verdana" w:eastAsia="Times New Roman" w:hAnsi="Verdana" w:cs="Times New Roman"/>
                <w:sz w:val="18"/>
                <w:szCs w:val="18"/>
                <w:lang w:eastAsia="tr-TR"/>
              </w:rPr>
              <w:t>korumak"tır</w:t>
            </w:r>
            <w:proofErr w:type="spellEnd"/>
            <w:r w:rsidRPr="00B4242B">
              <w:rPr>
                <w:rFonts w:ascii="Verdana" w:eastAsia="Times New Roman" w:hAnsi="Verdana" w:cs="Times New Roman"/>
                <w:sz w:val="18"/>
                <w:szCs w:val="18"/>
                <w:lang w:eastAsia="tr-TR"/>
              </w:rPr>
              <w:t>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52)</w:t>
            </w:r>
            <w:r w:rsidRPr="00B4242B">
              <w:rPr>
                <w:rFonts w:ascii="Verdana" w:eastAsia="Times New Roman" w:hAnsi="Verdana" w:cs="Times New Roman"/>
                <w:sz w:val="18"/>
                <w:szCs w:val="18"/>
                <w:lang w:eastAsia="tr-TR"/>
              </w:rPr>
              <w:t xml:space="preserve">. Birinci Protokolün 1(2). </w:t>
            </w:r>
            <w:proofErr w:type="gramStart"/>
            <w:r w:rsidRPr="00B4242B">
              <w:rPr>
                <w:rFonts w:ascii="Verdana" w:eastAsia="Times New Roman" w:hAnsi="Verdana" w:cs="Times New Roman"/>
                <w:sz w:val="18"/>
                <w:szCs w:val="18"/>
                <w:lang w:eastAsia="tr-TR"/>
              </w:rPr>
              <w:t>fıkrasındaki</w:t>
            </w:r>
            <w:proofErr w:type="gramEnd"/>
            <w:r w:rsidRPr="00B4242B">
              <w:rPr>
                <w:rFonts w:ascii="Verdana" w:eastAsia="Times New Roman" w:hAnsi="Verdana" w:cs="Times New Roman"/>
                <w:sz w:val="18"/>
                <w:szCs w:val="18"/>
                <w:lang w:eastAsia="tr-TR"/>
              </w:rPr>
              <w:t xml:space="preserve"> anlamıyla daha geniş bir kavram olan ‘genel yarar’ kavramı, Sözleşme’nin 10(2). </w:t>
            </w:r>
            <w:proofErr w:type="gramStart"/>
            <w:r w:rsidRPr="00B4242B">
              <w:rPr>
                <w:rFonts w:ascii="Verdana" w:eastAsia="Times New Roman" w:hAnsi="Verdana" w:cs="Times New Roman"/>
                <w:sz w:val="18"/>
                <w:szCs w:val="18"/>
                <w:lang w:eastAsia="tr-TR"/>
              </w:rPr>
              <w:t>fıkrasında</w:t>
            </w:r>
            <w:proofErr w:type="gramEnd"/>
            <w:r w:rsidRPr="00B4242B">
              <w:rPr>
                <w:rFonts w:ascii="Verdana" w:eastAsia="Times New Roman" w:hAnsi="Verdana" w:cs="Times New Roman"/>
                <w:sz w:val="18"/>
                <w:szCs w:val="18"/>
                <w:lang w:eastAsia="tr-TR"/>
              </w:rPr>
              <w:t xml:space="preserve"> kullanılan ‘ahlakın korunması’ kavramını da kapsamaktadır.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Bu suretle Mahkeme, bu konuda Hükümetin gösterdiği gerekçeyi ve Komisyon çoğunluğunun görüşünü kabul etmektedir.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63. </w:t>
            </w:r>
            <w:r w:rsidRPr="00B4242B">
              <w:rPr>
                <w:rFonts w:ascii="Verdana" w:eastAsia="Times New Roman" w:hAnsi="Verdana" w:cs="Times New Roman"/>
                <w:sz w:val="18"/>
                <w:szCs w:val="18"/>
                <w:lang w:eastAsia="tr-TR"/>
              </w:rPr>
              <w:t xml:space="preserve">Öte yandan, Ders Kitabı üzerinde hak kaybı ve kitapların imhası, başvurucuyu bazı mallarının sahipliğinden sürekli olarak yoksun bırakmıştır. Ancak Birinci Protokolün 1(2). </w:t>
            </w:r>
            <w:proofErr w:type="gramStart"/>
            <w:r w:rsidRPr="00B4242B">
              <w:rPr>
                <w:rFonts w:ascii="Verdana" w:eastAsia="Times New Roman" w:hAnsi="Verdana" w:cs="Times New Roman"/>
                <w:sz w:val="18"/>
                <w:szCs w:val="18"/>
                <w:lang w:eastAsia="tr-TR"/>
              </w:rPr>
              <w:t>fıkrasına</w:t>
            </w:r>
            <w:proofErr w:type="gramEnd"/>
            <w:r w:rsidRPr="00B4242B">
              <w:rPr>
                <w:rFonts w:ascii="Verdana" w:eastAsia="Times New Roman" w:hAnsi="Verdana" w:cs="Times New Roman"/>
                <w:sz w:val="18"/>
                <w:szCs w:val="18"/>
                <w:lang w:eastAsia="tr-TR"/>
              </w:rPr>
              <w:t xml:space="preserve"> dayanılarak alınan önlemler, Sözleşmeci Devletlerin hepsinde bulunan bir hukuk ilkesinin ışığında yorumlanmıştır; bu ilkeye göre, genel yarara aykırı ve tehlikeli olduğuna hukuken karar verilen mallar imha edilmek üzere hak kaybına uğratılır.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III. Sözleşme’nin 18. maddesinin ihlali iddiası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64. </w:t>
            </w:r>
            <w:proofErr w:type="spellStart"/>
            <w:r w:rsidRPr="00B4242B">
              <w:rPr>
                <w:rFonts w:ascii="Verdana" w:eastAsia="Times New Roman" w:hAnsi="Verdana" w:cs="Times New Roman"/>
                <w:sz w:val="18"/>
                <w:szCs w:val="18"/>
                <w:lang w:eastAsia="tr-TR"/>
              </w:rPr>
              <w:t>Handyside</w:t>
            </w:r>
            <w:proofErr w:type="spellEnd"/>
            <w:r w:rsidRPr="00B4242B">
              <w:rPr>
                <w:rFonts w:ascii="Verdana" w:eastAsia="Times New Roman" w:hAnsi="Verdana" w:cs="Times New Roman"/>
                <w:sz w:val="18"/>
                <w:szCs w:val="18"/>
                <w:lang w:eastAsia="tr-TR"/>
              </w:rPr>
              <w:t>, 18. maddeye aykırı olarak ne Sözleşme’nin 10. maddesinde ne de Birinci Protokolün 1. maddesinde ifade edilmeyen bir ‘amacı’ elde etmeye çalışan kısıtlamalara maruz kaldığı görüşündedir.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Mahkeme sözü edilen kısıtlamalarla ilgili amaçların, adı geçen maddelere göre meşru olduğu sonucuna vardığı için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52, 62 ve 63)</w:t>
            </w:r>
            <w:r w:rsidRPr="00B4242B">
              <w:rPr>
                <w:rFonts w:ascii="Verdana" w:eastAsia="Times New Roman" w:hAnsi="Verdana" w:cs="Times New Roman"/>
                <w:sz w:val="18"/>
                <w:szCs w:val="18"/>
                <w:lang w:eastAsia="tr-TR"/>
              </w:rPr>
              <w:t xml:space="preserve">, bu </w:t>
            </w:r>
            <w:proofErr w:type="gramStart"/>
            <w:r w:rsidRPr="00B4242B">
              <w:rPr>
                <w:rFonts w:ascii="Verdana" w:eastAsia="Times New Roman" w:hAnsi="Verdana" w:cs="Times New Roman"/>
                <w:sz w:val="18"/>
                <w:szCs w:val="18"/>
                <w:lang w:eastAsia="tr-TR"/>
              </w:rPr>
              <w:t>şikayeti</w:t>
            </w:r>
            <w:proofErr w:type="gramEnd"/>
            <w:r w:rsidRPr="00B4242B">
              <w:rPr>
                <w:rFonts w:ascii="Verdana" w:eastAsia="Times New Roman" w:hAnsi="Verdana" w:cs="Times New Roman"/>
                <w:sz w:val="18"/>
                <w:szCs w:val="18"/>
                <w:lang w:eastAsia="tr-TR"/>
              </w:rPr>
              <w:t xml:space="preserve"> incelemeyi gerekli görmemiştir.</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IV. Sözleşme’nin 14. maddesinin ihlali iddiası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65. </w:t>
            </w:r>
            <w:r w:rsidRPr="00B4242B">
              <w:rPr>
                <w:rFonts w:ascii="Verdana" w:eastAsia="Times New Roman" w:hAnsi="Verdana" w:cs="Times New Roman"/>
                <w:sz w:val="18"/>
                <w:szCs w:val="18"/>
                <w:lang w:eastAsia="tr-TR"/>
              </w:rPr>
              <w:t>Başvurucu, Komisyon’daki davanın ilk aşamalarında, Sözleşme’nin 14. maddesine aykırılığın mağduru olduğunu ileri sürmüştür. Madde metni şöyledir:</w:t>
            </w:r>
          </w:p>
          <w:p w:rsidR="00B4242B" w:rsidRPr="00B4242B" w:rsidRDefault="00B4242B" w:rsidP="00B4242B">
            <w:pPr>
              <w:shd w:val="clear" w:color="auto" w:fill="7070FF"/>
              <w:spacing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 xml:space="preserve">Bu </w:t>
            </w:r>
            <w:proofErr w:type="spellStart"/>
            <w:r w:rsidRPr="00B4242B">
              <w:rPr>
                <w:rFonts w:ascii="Verdana" w:eastAsia="Times New Roman" w:hAnsi="Verdana" w:cs="Times New Roman"/>
                <w:sz w:val="18"/>
                <w:szCs w:val="18"/>
                <w:lang w:eastAsia="tr-TR"/>
              </w:rPr>
              <w:t>Sözleşme’de</w:t>
            </w:r>
            <w:proofErr w:type="spellEnd"/>
            <w:r w:rsidRPr="00B4242B">
              <w:rPr>
                <w:rFonts w:ascii="Verdana" w:eastAsia="Times New Roman" w:hAnsi="Verdana" w:cs="Times New Roman"/>
                <w:sz w:val="18"/>
                <w:szCs w:val="18"/>
                <w:lang w:eastAsia="tr-TR"/>
              </w:rPr>
              <w:t xml:space="preserve"> beyan edilen hak ve özgürlüklerin kullanılması, cins, ırk, renk, dil, din, siyasal veya başka bir inanç, ulusal veya toplumsal köken, ulusal bir azınlığa mensup olma, mülkiyet, doğum veya başka bir statü gibi her hangi bir nedenle ayrım yapılmaksızın güvence altına alınır.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66. </w:t>
            </w:r>
            <w:r w:rsidRPr="00B4242B">
              <w:rPr>
                <w:rFonts w:ascii="Verdana" w:eastAsia="Times New Roman" w:hAnsi="Verdana" w:cs="Times New Roman"/>
                <w:sz w:val="18"/>
                <w:szCs w:val="18"/>
                <w:lang w:eastAsia="tr-TR"/>
              </w:rPr>
              <w:t>Komisyon 4 Nisan 1974 tarihinde, bu konudaki başvuruyu açıkça dayanaksız bularak reddetmiştir. Ne var ki Mahkeme, Sözleşme’nin 10. maddesi ile Birinci Protokolün 1. maddesini birlikte ele alarak, 14. maddeye göre inceleme yapmak gerektiği görüşündedir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41)</w:t>
            </w:r>
            <w:r w:rsidRPr="00B4242B">
              <w:rPr>
                <w:rFonts w:ascii="Verdana" w:eastAsia="Times New Roman" w:hAnsi="Verdana" w:cs="Times New Roman"/>
                <w:sz w:val="18"/>
                <w:szCs w:val="18"/>
                <w:lang w:eastAsia="tr-TR"/>
              </w:rPr>
              <w:t xml:space="preserve">. Çünkü </w:t>
            </w:r>
            <w:proofErr w:type="spellStart"/>
            <w:r w:rsidRPr="00B4242B">
              <w:rPr>
                <w:rFonts w:ascii="Verdana" w:eastAsia="Times New Roman" w:hAnsi="Verdana" w:cs="Times New Roman"/>
                <w:sz w:val="18"/>
                <w:szCs w:val="18"/>
                <w:lang w:eastAsia="tr-TR"/>
              </w:rPr>
              <w:t>Handyside’ın</w:t>
            </w:r>
            <w:proofErr w:type="spellEnd"/>
            <w:r w:rsidRPr="00B4242B">
              <w:rPr>
                <w:rFonts w:ascii="Verdana" w:eastAsia="Times New Roman" w:hAnsi="Verdana" w:cs="Times New Roman"/>
                <w:sz w:val="18"/>
                <w:szCs w:val="18"/>
                <w:lang w:eastAsia="tr-TR"/>
              </w:rPr>
              <w:t xml:space="preserve"> 14. maddeye açıkça göndermede bulunmaksızın 4 Nisan 1974 tarihli karardan önce ve sonra yaptığı </w:t>
            </w:r>
            <w:proofErr w:type="gramStart"/>
            <w:r w:rsidRPr="00B4242B">
              <w:rPr>
                <w:rFonts w:ascii="Verdana" w:eastAsia="Times New Roman" w:hAnsi="Verdana" w:cs="Times New Roman"/>
                <w:sz w:val="18"/>
                <w:szCs w:val="18"/>
                <w:lang w:eastAsia="tr-TR"/>
              </w:rPr>
              <w:t>şikayetler</w:t>
            </w:r>
            <w:proofErr w:type="gramEnd"/>
            <w:r w:rsidRPr="00B4242B">
              <w:rPr>
                <w:rFonts w:ascii="Verdana" w:eastAsia="Times New Roman" w:hAnsi="Verdana" w:cs="Times New Roman"/>
                <w:sz w:val="18"/>
                <w:szCs w:val="18"/>
                <w:lang w:eastAsia="tr-TR"/>
              </w:rPr>
              <w:t>, keyfi olarak farklı bir muamele yapılması sorununu gündeme getirmektedir.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lastRenderedPageBreak/>
              <w:t>Ne var ki Mahkeme’nin önündeki deliller, başvurucunun ifade özgürlüğünü ve mülkiyet hakkını kullanırken ayrımcılığa uğradığını göstermemektedir. Bu veriler başvurucunun özellikle siyasal eğilimlerinden dolayı baskıya uğradığını ortaya koymamaktadır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52)</w:t>
            </w:r>
            <w:r w:rsidRPr="00B4242B">
              <w:rPr>
                <w:rFonts w:ascii="Verdana" w:eastAsia="Times New Roman" w:hAnsi="Verdana" w:cs="Times New Roman"/>
                <w:sz w:val="18"/>
                <w:szCs w:val="18"/>
                <w:lang w:eastAsia="tr-TR"/>
              </w:rPr>
              <w:t xml:space="preserve">. Ayrıca, Birleşik </w:t>
            </w:r>
            <w:proofErr w:type="spellStart"/>
            <w:r w:rsidRPr="00B4242B">
              <w:rPr>
                <w:rFonts w:ascii="Verdana" w:eastAsia="Times New Roman" w:hAnsi="Verdana" w:cs="Times New Roman"/>
                <w:sz w:val="18"/>
                <w:szCs w:val="18"/>
                <w:lang w:eastAsia="tr-TR"/>
              </w:rPr>
              <w:t>Krallık’ta</w:t>
            </w:r>
            <w:proofErr w:type="spellEnd"/>
            <w:r w:rsidRPr="00B4242B">
              <w:rPr>
                <w:rFonts w:ascii="Verdana" w:eastAsia="Times New Roman" w:hAnsi="Verdana" w:cs="Times New Roman"/>
                <w:sz w:val="18"/>
                <w:szCs w:val="18"/>
                <w:lang w:eastAsia="tr-TR"/>
              </w:rPr>
              <w:t xml:space="preserve"> aşırı derecede hoşgörüden yararlandığını söylediği pornografik yayınlar ve eğlencelerin, Ders Kitabı ile aynı ölçüde, buna ulaşmaya hazır olan çocukları ve yetişme çağında olanları amaçladığı da görülmemektedir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yukarıda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56)</w:t>
            </w:r>
            <w:r w:rsidRPr="00B4242B">
              <w:rPr>
                <w:rFonts w:ascii="Verdana" w:eastAsia="Times New Roman" w:hAnsi="Verdana" w:cs="Times New Roman"/>
                <w:sz w:val="18"/>
                <w:szCs w:val="18"/>
                <w:lang w:eastAsia="tr-TR"/>
              </w:rPr>
              <w:t>. Son olarak dosyadaki deliller, başvurucuya ve kitaba karşı alınan önlemlerin, adaletten yoksun bırakılma ve açıkça kötüye kullanma konusunda benzeri davalarda alınan kararlardan sapmayı gerektirmemektedir </w:t>
            </w:r>
            <w:proofErr w:type="gramStart"/>
            <w:r w:rsidRPr="00B4242B">
              <w:rPr>
                <w:rFonts w:ascii="Verdana" w:eastAsia="Times New Roman" w:hAnsi="Verdana" w:cs="Times New Roman"/>
                <w:i/>
                <w:iCs/>
                <w:sz w:val="18"/>
                <w:szCs w:val="18"/>
                <w:lang w:eastAsia="tr-TR"/>
              </w:rPr>
              <w:t>(</w:t>
            </w:r>
            <w:proofErr w:type="gramEnd"/>
            <w:r w:rsidRPr="00B4242B">
              <w:rPr>
                <w:rFonts w:ascii="Verdana" w:eastAsia="Times New Roman" w:hAnsi="Verdana" w:cs="Times New Roman"/>
                <w:i/>
                <w:iCs/>
                <w:sz w:val="18"/>
                <w:szCs w:val="18"/>
                <w:lang w:eastAsia="tr-TR"/>
              </w:rPr>
              <w:t xml:space="preserve">bk. 08.06.1976 tarihli Engel ve Diğerleri, </w:t>
            </w:r>
            <w:proofErr w:type="spellStart"/>
            <w:r w:rsidRPr="00B4242B">
              <w:rPr>
                <w:rFonts w:ascii="Verdana" w:eastAsia="Times New Roman" w:hAnsi="Verdana" w:cs="Times New Roman"/>
                <w:i/>
                <w:iCs/>
                <w:sz w:val="18"/>
                <w:szCs w:val="18"/>
                <w:lang w:eastAsia="tr-TR"/>
              </w:rPr>
              <w:t>parag</w:t>
            </w:r>
            <w:proofErr w:type="spellEnd"/>
            <w:r w:rsidRPr="00B4242B">
              <w:rPr>
                <w:rFonts w:ascii="Verdana" w:eastAsia="Times New Roman" w:hAnsi="Verdana" w:cs="Times New Roman"/>
                <w:i/>
                <w:iCs/>
                <w:sz w:val="18"/>
                <w:szCs w:val="18"/>
                <w:lang w:eastAsia="tr-TR"/>
              </w:rPr>
              <w:t>. 103)</w:t>
            </w:r>
            <w:r w:rsidRPr="00B4242B">
              <w:rPr>
                <w:rFonts w:ascii="Verdana" w:eastAsia="Times New Roman" w:hAnsi="Verdana" w:cs="Times New Roman"/>
                <w:sz w:val="18"/>
                <w:szCs w:val="18"/>
                <w:lang w:eastAsia="tr-TR"/>
              </w:rPr>
              <w:t>.</w:t>
            </w:r>
          </w:p>
          <w:p w:rsidR="00B4242B" w:rsidRPr="00B4242B" w:rsidRDefault="00B4242B" w:rsidP="00B4242B">
            <w:pPr>
              <w:spacing w:before="100" w:beforeAutospacing="1" w:after="100" w:afterAutospacing="1" w:line="240" w:lineRule="auto"/>
              <w:outlineLvl w:val="1"/>
              <w:rPr>
                <w:rFonts w:ascii="Verdana" w:eastAsia="Times New Roman" w:hAnsi="Verdana" w:cs="Times New Roman"/>
                <w:b/>
                <w:bCs/>
                <w:sz w:val="33"/>
                <w:szCs w:val="33"/>
                <w:lang w:eastAsia="tr-TR"/>
              </w:rPr>
            </w:pPr>
            <w:r w:rsidRPr="00B4242B">
              <w:rPr>
                <w:rFonts w:ascii="Verdana" w:eastAsia="Times New Roman" w:hAnsi="Verdana" w:cs="Times New Roman"/>
                <w:b/>
                <w:bCs/>
                <w:sz w:val="33"/>
                <w:szCs w:val="33"/>
                <w:lang w:eastAsia="tr-TR"/>
              </w:rPr>
              <w:t>V. Sözleşme’nin 50. maddesinin uygulanması</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b/>
                <w:bCs/>
                <w:sz w:val="18"/>
                <w:szCs w:val="18"/>
                <w:lang w:eastAsia="tr-TR"/>
              </w:rPr>
              <w:t>67. </w:t>
            </w:r>
            <w:proofErr w:type="spellStart"/>
            <w:r w:rsidRPr="00B4242B">
              <w:rPr>
                <w:rFonts w:ascii="Verdana" w:eastAsia="Times New Roman" w:hAnsi="Verdana" w:cs="Times New Roman"/>
                <w:sz w:val="18"/>
                <w:szCs w:val="18"/>
                <w:lang w:eastAsia="tr-TR"/>
              </w:rPr>
              <w:t>Sözleşme’ye</w:t>
            </w:r>
            <w:proofErr w:type="spellEnd"/>
            <w:r w:rsidRPr="00B4242B">
              <w:rPr>
                <w:rFonts w:ascii="Verdana" w:eastAsia="Times New Roman" w:hAnsi="Verdana" w:cs="Times New Roman"/>
                <w:sz w:val="18"/>
                <w:szCs w:val="18"/>
                <w:lang w:eastAsia="tr-TR"/>
              </w:rPr>
              <w:t xml:space="preserve"> ve Birinci Protokolün 1. maddesine aykırılık bulunmaması nedeniyle Mahkeme, bu davada Sözleşme’nin 50. maddesinin uygulanması sorunu bulunmadığı sonucuna varmıştır.</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BU GEREKÇELERLE MAHKEME,</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1. Bire karşı on üç oyla, Sözleşme’nin 10. maddesinin ihlal edilmediğine,</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2. Oybirliğiyle, Birinci Protokolün 1. maddesinin ve Sözleşme’nin 14 ve 18. maddelerinin ihlal edilmediğine</w:t>
            </w:r>
          </w:p>
          <w:p w:rsidR="00B4242B" w:rsidRPr="00B4242B" w:rsidRDefault="00B4242B" w:rsidP="00B4242B">
            <w:pPr>
              <w:spacing w:before="100" w:beforeAutospacing="1" w:after="100" w:afterAutospacing="1" w:line="240" w:lineRule="auto"/>
              <w:jc w:val="both"/>
              <w:rPr>
                <w:rFonts w:ascii="Verdana" w:eastAsia="Times New Roman" w:hAnsi="Verdana" w:cs="Times New Roman"/>
                <w:sz w:val="18"/>
                <w:szCs w:val="18"/>
                <w:lang w:eastAsia="tr-TR"/>
              </w:rPr>
            </w:pPr>
            <w:r w:rsidRPr="00B4242B">
              <w:rPr>
                <w:rFonts w:ascii="Verdana" w:eastAsia="Times New Roman" w:hAnsi="Verdana" w:cs="Times New Roman"/>
                <w:sz w:val="18"/>
                <w:szCs w:val="18"/>
                <w:lang w:eastAsia="tr-TR"/>
              </w:rPr>
              <w:t>KARAR VERMİŞTİR.</w:t>
            </w:r>
          </w:p>
        </w:tc>
      </w:tr>
      <w:bookmarkEnd w:id="0"/>
    </w:tbl>
    <w:p w:rsidR="004C2899" w:rsidRDefault="004C2899"/>
    <w:sectPr w:rsidR="004C2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37"/>
    <w:rsid w:val="004C2899"/>
    <w:rsid w:val="00882824"/>
    <w:rsid w:val="00B4242B"/>
    <w:rsid w:val="00C95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FF417-57B1-4D07-9F6B-D9DE656B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237527">
      <w:bodyDiv w:val="1"/>
      <w:marLeft w:val="0"/>
      <w:marRight w:val="0"/>
      <w:marTop w:val="0"/>
      <w:marBottom w:val="0"/>
      <w:divBdr>
        <w:top w:val="none" w:sz="0" w:space="0" w:color="auto"/>
        <w:left w:val="none" w:sz="0" w:space="0" w:color="auto"/>
        <w:bottom w:val="none" w:sz="0" w:space="0" w:color="auto"/>
        <w:right w:val="none" w:sz="0" w:space="0" w:color="auto"/>
      </w:divBdr>
      <w:divsChild>
        <w:div w:id="1823353868">
          <w:marLeft w:val="0"/>
          <w:marRight w:val="0"/>
          <w:marTop w:val="0"/>
          <w:marBottom w:val="0"/>
          <w:divBdr>
            <w:top w:val="none" w:sz="0" w:space="0" w:color="auto"/>
            <w:left w:val="none" w:sz="0" w:space="0" w:color="auto"/>
            <w:bottom w:val="none" w:sz="0" w:space="0" w:color="auto"/>
            <w:right w:val="none" w:sz="0" w:space="0" w:color="auto"/>
          </w:divBdr>
        </w:div>
        <w:div w:id="1872377067">
          <w:marLeft w:val="0"/>
          <w:marRight w:val="0"/>
          <w:marTop w:val="0"/>
          <w:marBottom w:val="0"/>
          <w:divBdr>
            <w:top w:val="none" w:sz="0" w:space="0" w:color="auto"/>
            <w:left w:val="none" w:sz="0" w:space="0" w:color="auto"/>
            <w:bottom w:val="none" w:sz="0" w:space="0" w:color="auto"/>
            <w:right w:val="none" w:sz="0" w:space="0" w:color="auto"/>
          </w:divBdr>
        </w:div>
        <w:div w:id="745999694">
          <w:marLeft w:val="0"/>
          <w:marRight w:val="0"/>
          <w:marTop w:val="0"/>
          <w:marBottom w:val="0"/>
          <w:divBdr>
            <w:top w:val="none" w:sz="0" w:space="0" w:color="auto"/>
            <w:left w:val="none" w:sz="0" w:space="0" w:color="auto"/>
            <w:bottom w:val="none" w:sz="0" w:space="0" w:color="auto"/>
            <w:right w:val="none" w:sz="0" w:space="0" w:color="auto"/>
          </w:divBdr>
        </w:div>
        <w:div w:id="202100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1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2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55608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31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16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11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9157</Words>
  <Characters>52197</Characters>
  <Application>Microsoft Office Word</Application>
  <DocSecurity>0</DocSecurity>
  <Lines>434</Lines>
  <Paragraphs>122</Paragraphs>
  <ScaleCrop>false</ScaleCrop>
  <Company>RTUK</Company>
  <LinksUpToDate>false</LinksUpToDate>
  <CharactersWithSpaces>61232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Berrin DALGIÇ ALTINTAŞ</dc:creator>
  <cp:keywords/>
  <dc:description/>
  <cp:lastModifiedBy>Berrin DALGIÇ ALTINTAŞ</cp:lastModifiedBy>
  <cp:revision>3</cp:revision>
  <dcterms:created xsi:type="dcterms:W3CDTF">2015-05-21T06:15:00Z</dcterms:created>
  <dcterms:modified xsi:type="dcterms:W3CDTF">2015-05-21T07:05:00Z</dcterms:modified>
</cp:coreProperties>
</file>